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jc w:val="center"/>
        <w:textAlignment w:val="bottom"/>
        <w:rPr>
          <w:rFonts w:ascii="黑体" w:hAnsi="黑体" w:eastAsia="黑体"/>
          <w:b/>
          <w:sz w:val="44"/>
          <w:szCs w:val="44"/>
        </w:rPr>
      </w:pPr>
      <w:r>
        <w:rPr>
          <w:rFonts w:hint="eastAsia" w:ascii="黑体" w:hAnsi="黑体" w:eastAsia="黑体"/>
          <w:b/>
          <w:sz w:val="44"/>
          <w:szCs w:val="44"/>
        </w:rPr>
        <w:t>浙江航空开发有限责任公司</w:t>
      </w:r>
    </w:p>
    <w:p>
      <w:pPr>
        <w:widowControl/>
        <w:autoSpaceDE w:val="0"/>
        <w:autoSpaceDN w:val="0"/>
        <w:jc w:val="center"/>
        <w:textAlignment w:val="bottom"/>
        <w:rPr>
          <w:rFonts w:ascii="黑体" w:hAnsi="黑体" w:eastAsia="黑体"/>
          <w:b/>
          <w:sz w:val="44"/>
          <w:szCs w:val="44"/>
        </w:rPr>
      </w:pPr>
      <w:r>
        <w:rPr>
          <w:rFonts w:hint="eastAsia" w:eastAsia="黑体" w:cs="Calibri"/>
          <w:b/>
          <w:sz w:val="44"/>
          <w:szCs w:val="44"/>
          <w:u w:val="single"/>
        </w:rPr>
        <w:t>药品仓储基地3#库屋面维修项目</w:t>
      </w:r>
    </w:p>
    <w:p>
      <w:pPr>
        <w:widowControl/>
        <w:autoSpaceDE w:val="0"/>
        <w:autoSpaceDN w:val="0"/>
        <w:jc w:val="center"/>
        <w:textAlignment w:val="bottom"/>
        <w:rPr>
          <w:rFonts w:ascii="黑体" w:hAnsi="黑体" w:eastAsia="黑体"/>
          <w:b/>
          <w:sz w:val="44"/>
          <w:szCs w:val="44"/>
        </w:rPr>
      </w:pPr>
    </w:p>
    <w:p>
      <w:pPr>
        <w:widowControl/>
        <w:autoSpaceDE w:val="0"/>
        <w:autoSpaceDN w:val="0"/>
        <w:jc w:val="center"/>
        <w:textAlignment w:val="bottom"/>
        <w:rPr>
          <w:rFonts w:ascii="黑体" w:hAnsi="黑体" w:eastAsia="黑体"/>
          <w:sz w:val="84"/>
          <w:szCs w:val="84"/>
        </w:rPr>
      </w:pPr>
      <w:r>
        <w:rPr>
          <w:rFonts w:hint="eastAsia" w:ascii="黑体" w:hAnsi="黑体" w:eastAsia="黑体"/>
          <w:b/>
          <w:sz w:val="84"/>
          <w:szCs w:val="84"/>
        </w:rPr>
        <w:t>施工</w:t>
      </w:r>
      <w:r>
        <w:rPr>
          <w:rFonts w:ascii="黑体" w:hAnsi="黑体" w:eastAsia="黑体"/>
          <w:b/>
          <w:sz w:val="84"/>
          <w:szCs w:val="84"/>
        </w:rPr>
        <w:t>招标文件</w:t>
      </w:r>
    </w:p>
    <w:p>
      <w:pPr>
        <w:widowControl/>
        <w:autoSpaceDE w:val="0"/>
        <w:autoSpaceDN w:val="0"/>
        <w:snapToGrid w:val="0"/>
        <w:spacing w:line="560" w:lineRule="exact"/>
        <w:jc w:val="center"/>
        <w:textAlignment w:val="bottom"/>
        <w:rPr>
          <w:rFonts w:ascii="宋体" w:hAnsi="宋体"/>
          <w:b/>
          <w:sz w:val="32"/>
          <w:szCs w:val="32"/>
        </w:rPr>
      </w:pPr>
    </w:p>
    <w:p>
      <w:pPr>
        <w:widowControl/>
        <w:autoSpaceDE w:val="0"/>
        <w:autoSpaceDN w:val="0"/>
        <w:snapToGrid w:val="0"/>
        <w:spacing w:line="560" w:lineRule="exact"/>
        <w:jc w:val="center"/>
        <w:textAlignment w:val="bottom"/>
        <w:rPr>
          <w:rFonts w:ascii="宋体" w:hAnsi="宋体"/>
          <w:b/>
          <w:sz w:val="32"/>
          <w:szCs w:val="32"/>
        </w:rPr>
      </w:pPr>
    </w:p>
    <w:p>
      <w:pPr>
        <w:widowControl/>
        <w:autoSpaceDE w:val="0"/>
        <w:autoSpaceDN w:val="0"/>
        <w:snapToGrid w:val="0"/>
        <w:spacing w:line="560" w:lineRule="exact"/>
        <w:textAlignment w:val="bottom"/>
        <w:rPr>
          <w:rFonts w:ascii="宋体" w:hAnsi="宋体"/>
          <w:bCs/>
          <w:sz w:val="32"/>
          <w:szCs w:val="32"/>
        </w:rPr>
      </w:pPr>
      <w:r>
        <w:rPr>
          <w:rFonts w:ascii="宋体" w:hAnsi="宋体"/>
          <w:b/>
          <w:sz w:val="32"/>
          <w:szCs w:val="32"/>
        </w:rPr>
        <w:t xml:space="preserve">   </w:t>
      </w:r>
      <w:r>
        <w:rPr>
          <w:rFonts w:hint="eastAsia" w:ascii="宋体" w:hAnsi="宋体"/>
          <w:b/>
          <w:sz w:val="32"/>
          <w:szCs w:val="32"/>
        </w:rPr>
        <w:t xml:space="preserve">                </w:t>
      </w:r>
      <w:r>
        <w:rPr>
          <w:rFonts w:ascii="宋体" w:hAnsi="宋体"/>
          <w:b/>
          <w:sz w:val="32"/>
          <w:szCs w:val="32"/>
        </w:rPr>
        <w:t xml:space="preserve">      </w:t>
      </w:r>
      <w:r>
        <w:rPr>
          <w:rFonts w:hint="eastAsia" w:ascii="宋体" w:hAnsi="宋体"/>
          <w:b/>
          <w:sz w:val="32"/>
          <w:szCs w:val="32"/>
        </w:rPr>
        <w:t xml:space="preserve">    </w:t>
      </w:r>
    </w:p>
    <w:p>
      <w:pPr>
        <w:widowControl/>
        <w:autoSpaceDE w:val="0"/>
        <w:autoSpaceDN w:val="0"/>
        <w:snapToGrid w:val="0"/>
        <w:spacing w:line="560" w:lineRule="exact"/>
        <w:textAlignment w:val="bottom"/>
        <w:rPr>
          <w:rFonts w:ascii="宋体" w:hAnsi="宋体"/>
          <w:b/>
          <w:sz w:val="32"/>
          <w:szCs w:val="32"/>
        </w:rPr>
      </w:pPr>
      <w:r>
        <w:rPr>
          <w:rFonts w:ascii="宋体" w:hAnsi="宋体"/>
          <w:bCs/>
          <w:sz w:val="32"/>
          <w:szCs w:val="32"/>
        </w:rPr>
        <w:t xml:space="preserve">                 </w:t>
      </w:r>
      <w:r>
        <w:rPr>
          <w:rFonts w:hint="eastAsia" w:ascii="宋体" w:hAnsi="宋体"/>
          <w:bCs/>
          <w:sz w:val="32"/>
          <w:szCs w:val="32"/>
        </w:rPr>
        <w:t xml:space="preserve">            </w:t>
      </w:r>
    </w:p>
    <w:p>
      <w:pPr>
        <w:adjustRightInd w:val="0"/>
        <w:snapToGrid w:val="0"/>
        <w:spacing w:line="560" w:lineRule="exact"/>
        <w:jc w:val="center"/>
        <w:textAlignment w:val="bottom"/>
        <w:rPr>
          <w:rFonts w:ascii="宋体" w:hAnsi="宋体"/>
          <w:sz w:val="32"/>
          <w:szCs w:val="32"/>
        </w:rPr>
      </w:pPr>
    </w:p>
    <w:p>
      <w:pPr>
        <w:adjustRightInd w:val="0"/>
        <w:snapToGrid w:val="0"/>
        <w:spacing w:line="560" w:lineRule="exact"/>
        <w:jc w:val="center"/>
        <w:textAlignment w:val="bottom"/>
        <w:rPr>
          <w:rFonts w:ascii="宋体" w:hAnsi="宋体"/>
          <w:sz w:val="32"/>
          <w:szCs w:val="32"/>
        </w:rPr>
      </w:pPr>
    </w:p>
    <w:p>
      <w:pPr>
        <w:adjustRightInd w:val="0"/>
        <w:snapToGrid w:val="0"/>
        <w:spacing w:line="560" w:lineRule="exact"/>
        <w:jc w:val="center"/>
        <w:textAlignment w:val="bottom"/>
        <w:rPr>
          <w:rFonts w:ascii="宋体" w:hAnsi="宋体"/>
          <w:sz w:val="32"/>
          <w:szCs w:val="32"/>
        </w:rPr>
      </w:pPr>
    </w:p>
    <w:p>
      <w:pPr>
        <w:adjustRightInd w:val="0"/>
        <w:snapToGrid w:val="0"/>
        <w:spacing w:line="560" w:lineRule="exact"/>
        <w:jc w:val="center"/>
        <w:textAlignment w:val="bottom"/>
        <w:rPr>
          <w:rFonts w:ascii="宋体" w:hAnsi="宋体"/>
          <w:sz w:val="32"/>
          <w:szCs w:val="32"/>
        </w:rPr>
      </w:pPr>
    </w:p>
    <w:p>
      <w:pPr>
        <w:adjustRightInd w:val="0"/>
        <w:snapToGrid w:val="0"/>
        <w:spacing w:line="560" w:lineRule="exact"/>
        <w:jc w:val="center"/>
        <w:textAlignment w:val="bottom"/>
        <w:rPr>
          <w:rFonts w:ascii="宋体" w:hAnsi="宋体"/>
          <w:sz w:val="32"/>
          <w:szCs w:val="32"/>
        </w:rPr>
      </w:pPr>
    </w:p>
    <w:p>
      <w:pPr>
        <w:adjustRightInd w:val="0"/>
        <w:snapToGrid w:val="0"/>
        <w:spacing w:line="560" w:lineRule="exact"/>
        <w:jc w:val="center"/>
        <w:textAlignment w:val="bottom"/>
        <w:rPr>
          <w:rFonts w:ascii="宋体" w:hAnsi="宋体"/>
          <w:sz w:val="32"/>
          <w:szCs w:val="32"/>
        </w:rPr>
      </w:pPr>
    </w:p>
    <w:p>
      <w:pPr>
        <w:jc w:val="center"/>
        <w:rPr>
          <w:rFonts w:eastAsia="黑体" w:cs="Calibri"/>
          <w:sz w:val="32"/>
          <w:szCs w:val="32"/>
        </w:rPr>
      </w:pPr>
      <w:r>
        <w:rPr>
          <w:rFonts w:hint="eastAsia" w:eastAsia="黑体" w:cs="Calibri"/>
          <w:sz w:val="32"/>
          <w:szCs w:val="32"/>
        </w:rPr>
        <w:t>浙江航空开发有限责任公司</w:t>
      </w:r>
    </w:p>
    <w:p>
      <w:pPr>
        <w:pStyle w:val="29"/>
        <w:spacing w:line="480" w:lineRule="auto"/>
        <w:jc w:val="center"/>
        <w:rPr>
          <w:rFonts w:ascii="Calibri" w:hAnsi="Calibri" w:eastAsia="楷体_GB2312" w:cs="Calibri"/>
          <w:sz w:val="24"/>
          <w:szCs w:val="24"/>
          <w:u w:val="single"/>
        </w:rPr>
      </w:pPr>
      <w:r>
        <w:rPr>
          <w:rFonts w:hint="eastAsia" w:ascii="Calibri" w:hAnsi="Calibri" w:eastAsia="黑体" w:cs="Calibri"/>
          <w:sz w:val="32"/>
          <w:szCs w:val="32"/>
        </w:rPr>
        <w:t>二</w:t>
      </w:r>
      <w:r>
        <w:rPr>
          <w:rFonts w:hint="eastAsia" w:ascii="黑体" w:hAnsi="黑体" w:eastAsia="黑体" w:cs="Calibri"/>
          <w:sz w:val="32"/>
          <w:szCs w:val="32"/>
        </w:rPr>
        <w:t>Ο</w:t>
      </w:r>
      <w:r>
        <w:rPr>
          <w:rFonts w:hint="eastAsia" w:ascii="Calibri" w:hAnsi="Calibri" w:eastAsia="黑体" w:cs="Calibri"/>
          <w:sz w:val="32"/>
          <w:szCs w:val="32"/>
        </w:rPr>
        <w:t>一九年</w:t>
      </w:r>
      <w:r>
        <w:rPr>
          <w:rFonts w:hint="eastAsia" w:ascii="Calibri" w:hAnsi="Calibri" w:eastAsia="黑体" w:cs="Calibri"/>
          <w:sz w:val="32"/>
          <w:szCs w:val="32"/>
          <w:u w:val="single"/>
        </w:rPr>
        <w:t xml:space="preserve">  十一 </w:t>
      </w:r>
      <w:r>
        <w:rPr>
          <w:rFonts w:ascii="Calibri" w:hAnsi="Calibri" w:eastAsia="黑体" w:cs="Calibri"/>
          <w:sz w:val="32"/>
          <w:szCs w:val="32"/>
        </w:rPr>
        <w:t>月</w:t>
      </w:r>
    </w:p>
    <w:p>
      <w:pPr>
        <w:snapToGrid w:val="0"/>
        <w:spacing w:line="560" w:lineRule="exact"/>
        <w:jc w:val="center"/>
        <w:rPr>
          <w:rFonts w:ascii="宋体" w:hAnsi="宋体"/>
          <w:b/>
          <w:bCs/>
          <w:sz w:val="32"/>
          <w:szCs w:val="32"/>
        </w:rPr>
      </w:pPr>
    </w:p>
    <w:p>
      <w:pPr>
        <w:spacing w:line="560" w:lineRule="exact"/>
        <w:jc w:val="center"/>
        <w:rPr>
          <w:b/>
        </w:rPr>
      </w:pPr>
    </w:p>
    <w:p>
      <w:pPr>
        <w:spacing w:line="560" w:lineRule="exact"/>
        <w:jc w:val="center"/>
        <w:rPr>
          <w:b/>
          <w:bCs/>
          <w:sz w:val="44"/>
          <w:szCs w:val="44"/>
        </w:rPr>
      </w:pPr>
      <w:r>
        <w:rPr>
          <w:b/>
          <w:bCs/>
          <w:sz w:val="44"/>
          <w:szCs w:val="44"/>
        </w:rPr>
        <w:br w:type="page"/>
      </w:r>
      <w:r>
        <w:rPr>
          <w:rFonts w:hint="eastAsia"/>
          <w:b/>
          <w:bCs/>
          <w:sz w:val="44"/>
          <w:szCs w:val="44"/>
        </w:rPr>
        <w:t>目  录</w:t>
      </w:r>
    </w:p>
    <w:p>
      <w:pPr>
        <w:spacing w:line="560" w:lineRule="exact"/>
        <w:jc w:val="center"/>
        <w:rPr>
          <w:b/>
          <w:bCs/>
          <w:sz w:val="44"/>
          <w:szCs w:val="44"/>
        </w:rPr>
      </w:pPr>
    </w:p>
    <w:p>
      <w:pPr>
        <w:spacing w:line="560" w:lineRule="exact"/>
        <w:jc w:val="center"/>
        <w:rPr>
          <w:b/>
          <w:sz w:val="44"/>
          <w:szCs w:val="44"/>
        </w:rPr>
      </w:pPr>
    </w:p>
    <w:p>
      <w:pPr>
        <w:pStyle w:val="36"/>
        <w:tabs>
          <w:tab w:val="right" w:leader="dot" w:pos="8290"/>
        </w:tabs>
        <w:spacing w:line="480" w:lineRule="auto"/>
        <w:rPr>
          <w:rFonts w:ascii="黑体" w:hAnsi="黑体" w:eastAsia="黑体" w:cstheme="minorBidi"/>
          <w:sz w:val="22"/>
          <w:szCs w:val="22"/>
        </w:rPr>
      </w:pPr>
      <w:r>
        <w:rPr>
          <w:rFonts w:hint="eastAsia" w:ascii="黑体" w:hAnsi="黑体" w:eastAsia="黑体"/>
          <w:b/>
          <w:sz w:val="22"/>
          <w:szCs w:val="22"/>
        </w:rPr>
        <w:fldChar w:fldCharType="begin"/>
      </w:r>
      <w:r>
        <w:rPr>
          <w:rFonts w:hint="eastAsia" w:ascii="黑体" w:hAnsi="黑体" w:eastAsia="黑体"/>
          <w:b/>
          <w:sz w:val="22"/>
          <w:szCs w:val="22"/>
        </w:rPr>
        <w:instrText xml:space="preserve"> TOC \o "1-1" \h \z \u </w:instrText>
      </w:r>
      <w:r>
        <w:rPr>
          <w:rFonts w:hint="eastAsia" w:ascii="黑体" w:hAnsi="黑体" w:eastAsia="黑体"/>
          <w:b/>
          <w:sz w:val="22"/>
          <w:szCs w:val="22"/>
        </w:rPr>
        <w:fldChar w:fldCharType="separate"/>
      </w:r>
      <w:r>
        <w:fldChar w:fldCharType="begin"/>
      </w:r>
      <w:r>
        <w:instrText xml:space="preserve"> HYPERLINK \l "_Toc448097401" </w:instrText>
      </w:r>
      <w:r>
        <w:fldChar w:fldCharType="separate"/>
      </w:r>
      <w:r>
        <w:rPr>
          <w:rStyle w:val="58"/>
          <w:rFonts w:hint="eastAsia" w:ascii="黑体" w:hAnsi="黑体" w:eastAsia="黑体"/>
          <w:sz w:val="22"/>
          <w:szCs w:val="22"/>
        </w:rPr>
        <w:t>第一章</w:t>
      </w:r>
      <w:r>
        <w:rPr>
          <w:rStyle w:val="58"/>
          <w:rFonts w:ascii="黑体" w:hAnsi="黑体" w:eastAsia="黑体"/>
          <w:sz w:val="22"/>
          <w:szCs w:val="22"/>
        </w:rPr>
        <w:t xml:space="preserve"> </w:t>
      </w:r>
      <w:r>
        <w:rPr>
          <w:rStyle w:val="58"/>
          <w:rFonts w:hint="eastAsia" w:ascii="黑体" w:hAnsi="黑体" w:eastAsia="黑体"/>
          <w:sz w:val="22"/>
          <w:szCs w:val="22"/>
        </w:rPr>
        <w:t xml:space="preserve"> 招标公告</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_Toc448097401 \h </w:instrText>
      </w:r>
      <w:r>
        <w:rPr>
          <w:rFonts w:ascii="黑体" w:hAnsi="黑体" w:eastAsia="黑体"/>
          <w:sz w:val="22"/>
          <w:szCs w:val="22"/>
        </w:rPr>
        <w:fldChar w:fldCharType="separate"/>
      </w:r>
      <w:r>
        <w:rPr>
          <w:rFonts w:ascii="黑体" w:hAnsi="黑体" w:eastAsia="黑体"/>
          <w:sz w:val="22"/>
          <w:szCs w:val="22"/>
        </w:rPr>
        <w:t>- 2 -</w:t>
      </w:r>
      <w:r>
        <w:rPr>
          <w:rFonts w:ascii="黑体" w:hAnsi="黑体" w:eastAsia="黑体"/>
          <w:sz w:val="22"/>
          <w:szCs w:val="22"/>
        </w:rPr>
        <w:fldChar w:fldCharType="end"/>
      </w:r>
      <w:r>
        <w:rPr>
          <w:rFonts w:ascii="黑体" w:hAnsi="黑体" w:eastAsia="黑体"/>
          <w:sz w:val="22"/>
          <w:szCs w:val="22"/>
        </w:rPr>
        <w:fldChar w:fldCharType="end"/>
      </w:r>
    </w:p>
    <w:p>
      <w:pPr>
        <w:pStyle w:val="36"/>
        <w:tabs>
          <w:tab w:val="right" w:leader="dot" w:pos="8290"/>
        </w:tabs>
        <w:spacing w:line="480" w:lineRule="auto"/>
        <w:rPr>
          <w:rFonts w:ascii="黑体" w:hAnsi="黑体" w:eastAsia="黑体" w:cstheme="minorBidi"/>
          <w:sz w:val="22"/>
          <w:szCs w:val="22"/>
        </w:rPr>
      </w:pPr>
      <w:r>
        <w:fldChar w:fldCharType="begin"/>
      </w:r>
      <w:r>
        <w:instrText xml:space="preserve"> HYPERLINK \l "_Toc448097402" </w:instrText>
      </w:r>
      <w:r>
        <w:fldChar w:fldCharType="separate"/>
      </w:r>
      <w:r>
        <w:rPr>
          <w:rStyle w:val="58"/>
          <w:rFonts w:hint="eastAsia" w:ascii="黑体" w:hAnsi="黑体" w:eastAsia="黑体"/>
          <w:sz w:val="22"/>
          <w:szCs w:val="22"/>
        </w:rPr>
        <w:t>第二章</w:t>
      </w:r>
      <w:r>
        <w:rPr>
          <w:rStyle w:val="58"/>
          <w:rFonts w:ascii="黑体" w:hAnsi="黑体" w:eastAsia="黑体"/>
          <w:sz w:val="22"/>
          <w:szCs w:val="22"/>
        </w:rPr>
        <w:t xml:space="preserve">  </w:t>
      </w:r>
      <w:r>
        <w:rPr>
          <w:rStyle w:val="58"/>
          <w:rFonts w:hint="eastAsia" w:ascii="黑体" w:hAnsi="黑体" w:eastAsia="黑体"/>
          <w:sz w:val="22"/>
          <w:szCs w:val="22"/>
        </w:rPr>
        <w:t>投标人须知及评标办法</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_Toc448097402 \h </w:instrText>
      </w:r>
      <w:r>
        <w:rPr>
          <w:rFonts w:ascii="黑体" w:hAnsi="黑体" w:eastAsia="黑体"/>
          <w:sz w:val="22"/>
          <w:szCs w:val="22"/>
        </w:rPr>
        <w:fldChar w:fldCharType="separate"/>
      </w:r>
      <w:r>
        <w:rPr>
          <w:rFonts w:ascii="黑体" w:hAnsi="黑体" w:eastAsia="黑体"/>
          <w:sz w:val="22"/>
          <w:szCs w:val="22"/>
        </w:rPr>
        <w:t>- 3 -</w:t>
      </w:r>
      <w:r>
        <w:rPr>
          <w:rFonts w:ascii="黑体" w:hAnsi="黑体" w:eastAsia="黑体"/>
          <w:sz w:val="22"/>
          <w:szCs w:val="22"/>
        </w:rPr>
        <w:fldChar w:fldCharType="end"/>
      </w:r>
      <w:r>
        <w:rPr>
          <w:rFonts w:ascii="黑体" w:hAnsi="黑体" w:eastAsia="黑体"/>
          <w:sz w:val="22"/>
          <w:szCs w:val="22"/>
        </w:rPr>
        <w:fldChar w:fldCharType="end"/>
      </w:r>
    </w:p>
    <w:p>
      <w:pPr>
        <w:pStyle w:val="36"/>
        <w:tabs>
          <w:tab w:val="right" w:leader="dot" w:pos="8290"/>
        </w:tabs>
        <w:spacing w:line="480" w:lineRule="auto"/>
        <w:rPr>
          <w:rFonts w:ascii="黑体" w:hAnsi="黑体" w:eastAsia="黑体" w:cstheme="minorBidi"/>
          <w:sz w:val="22"/>
          <w:szCs w:val="22"/>
        </w:rPr>
      </w:pPr>
      <w:r>
        <w:fldChar w:fldCharType="begin"/>
      </w:r>
      <w:r>
        <w:instrText xml:space="preserve"> HYPERLINK \l "_Toc448097404" </w:instrText>
      </w:r>
      <w:r>
        <w:fldChar w:fldCharType="separate"/>
      </w:r>
      <w:r>
        <w:rPr>
          <w:rStyle w:val="58"/>
          <w:rFonts w:hint="eastAsia" w:ascii="黑体" w:hAnsi="黑体" w:eastAsia="黑体"/>
          <w:sz w:val="22"/>
          <w:szCs w:val="22"/>
        </w:rPr>
        <w:t>第三章</w:t>
      </w:r>
      <w:r>
        <w:rPr>
          <w:rStyle w:val="58"/>
          <w:rFonts w:ascii="黑体" w:hAnsi="黑体" w:eastAsia="黑体"/>
          <w:sz w:val="22"/>
          <w:szCs w:val="22"/>
        </w:rPr>
        <w:t xml:space="preserve">  </w:t>
      </w:r>
      <w:r>
        <w:rPr>
          <w:rStyle w:val="58"/>
          <w:rFonts w:hint="eastAsia" w:ascii="黑体" w:hAnsi="黑体" w:eastAsia="黑体"/>
          <w:sz w:val="22"/>
          <w:szCs w:val="22"/>
        </w:rPr>
        <w:t>合同条款及格式</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_Toc448097404 \h </w:instrText>
      </w:r>
      <w:r>
        <w:rPr>
          <w:rFonts w:ascii="黑体" w:hAnsi="黑体" w:eastAsia="黑体"/>
          <w:sz w:val="22"/>
          <w:szCs w:val="22"/>
        </w:rPr>
        <w:fldChar w:fldCharType="separate"/>
      </w:r>
      <w:r>
        <w:rPr>
          <w:rFonts w:ascii="黑体" w:hAnsi="黑体" w:eastAsia="黑体"/>
          <w:sz w:val="22"/>
          <w:szCs w:val="22"/>
        </w:rPr>
        <w:t>- 14 -</w:t>
      </w:r>
      <w:r>
        <w:rPr>
          <w:rFonts w:ascii="黑体" w:hAnsi="黑体" w:eastAsia="黑体"/>
          <w:sz w:val="22"/>
          <w:szCs w:val="22"/>
        </w:rPr>
        <w:fldChar w:fldCharType="end"/>
      </w:r>
      <w:r>
        <w:rPr>
          <w:rFonts w:ascii="黑体" w:hAnsi="黑体" w:eastAsia="黑体"/>
          <w:sz w:val="22"/>
          <w:szCs w:val="22"/>
        </w:rPr>
        <w:fldChar w:fldCharType="end"/>
      </w:r>
    </w:p>
    <w:p>
      <w:pPr>
        <w:pStyle w:val="36"/>
        <w:tabs>
          <w:tab w:val="right" w:leader="dot" w:pos="8290"/>
        </w:tabs>
        <w:spacing w:line="480" w:lineRule="auto"/>
        <w:rPr>
          <w:rFonts w:ascii="黑体" w:hAnsi="黑体" w:eastAsia="黑体" w:cstheme="minorBidi"/>
          <w:sz w:val="22"/>
          <w:szCs w:val="22"/>
        </w:rPr>
      </w:pPr>
      <w:r>
        <w:fldChar w:fldCharType="begin"/>
      </w:r>
      <w:r>
        <w:instrText xml:space="preserve"> HYPERLINK \l "_Toc448097407" </w:instrText>
      </w:r>
      <w:r>
        <w:fldChar w:fldCharType="separate"/>
      </w:r>
      <w:r>
        <w:rPr>
          <w:rStyle w:val="58"/>
          <w:rFonts w:hint="eastAsia" w:ascii="黑体" w:hAnsi="黑体" w:eastAsia="黑体"/>
          <w:sz w:val="22"/>
          <w:szCs w:val="22"/>
        </w:rPr>
        <w:t>第四章</w:t>
      </w:r>
      <w:r>
        <w:rPr>
          <w:rStyle w:val="58"/>
          <w:rFonts w:ascii="黑体" w:hAnsi="黑体" w:eastAsia="黑体"/>
          <w:sz w:val="22"/>
          <w:szCs w:val="22"/>
        </w:rPr>
        <w:t xml:space="preserve">  </w:t>
      </w:r>
      <w:r>
        <w:rPr>
          <w:rStyle w:val="58"/>
          <w:rFonts w:hint="eastAsia" w:ascii="黑体" w:hAnsi="黑体" w:eastAsia="黑体"/>
          <w:sz w:val="22"/>
          <w:szCs w:val="22"/>
        </w:rPr>
        <w:t>参考工程量清单</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_Toc448097407 \h </w:instrText>
      </w:r>
      <w:r>
        <w:rPr>
          <w:rFonts w:ascii="黑体" w:hAnsi="黑体" w:eastAsia="黑体"/>
          <w:sz w:val="22"/>
          <w:szCs w:val="22"/>
        </w:rPr>
        <w:fldChar w:fldCharType="separate"/>
      </w:r>
      <w:r>
        <w:rPr>
          <w:rFonts w:ascii="黑体" w:hAnsi="黑体" w:eastAsia="黑体"/>
          <w:sz w:val="22"/>
          <w:szCs w:val="22"/>
        </w:rPr>
        <w:t>- 32 -</w:t>
      </w:r>
      <w:r>
        <w:rPr>
          <w:rFonts w:ascii="黑体" w:hAnsi="黑体" w:eastAsia="黑体"/>
          <w:sz w:val="22"/>
          <w:szCs w:val="22"/>
        </w:rPr>
        <w:fldChar w:fldCharType="end"/>
      </w:r>
      <w:r>
        <w:rPr>
          <w:rFonts w:ascii="黑体" w:hAnsi="黑体" w:eastAsia="黑体"/>
          <w:sz w:val="22"/>
          <w:szCs w:val="22"/>
        </w:rPr>
        <w:fldChar w:fldCharType="end"/>
      </w:r>
    </w:p>
    <w:p>
      <w:pPr>
        <w:pStyle w:val="36"/>
        <w:tabs>
          <w:tab w:val="right" w:leader="dot" w:pos="8290"/>
        </w:tabs>
        <w:spacing w:line="480" w:lineRule="auto"/>
        <w:rPr>
          <w:rFonts w:ascii="黑体" w:hAnsi="黑体" w:eastAsia="黑体" w:cstheme="minorBidi"/>
          <w:sz w:val="22"/>
          <w:szCs w:val="22"/>
        </w:rPr>
      </w:pPr>
      <w:r>
        <w:fldChar w:fldCharType="begin"/>
      </w:r>
      <w:r>
        <w:instrText xml:space="preserve"> HYPERLINK \l "_Toc448097408" </w:instrText>
      </w:r>
      <w:r>
        <w:fldChar w:fldCharType="separate"/>
      </w:r>
      <w:r>
        <w:rPr>
          <w:rStyle w:val="58"/>
          <w:rFonts w:hint="eastAsia" w:ascii="黑体" w:hAnsi="黑体" w:eastAsia="黑体"/>
          <w:sz w:val="22"/>
          <w:szCs w:val="22"/>
        </w:rPr>
        <w:t>第五章</w:t>
      </w:r>
      <w:r>
        <w:rPr>
          <w:rStyle w:val="58"/>
          <w:rFonts w:ascii="黑体" w:hAnsi="黑体" w:eastAsia="黑体"/>
          <w:sz w:val="22"/>
          <w:szCs w:val="22"/>
        </w:rPr>
        <w:t xml:space="preserve">  </w:t>
      </w:r>
      <w:r>
        <w:rPr>
          <w:rStyle w:val="58"/>
          <w:rFonts w:hint="eastAsia" w:ascii="黑体" w:hAnsi="黑体" w:eastAsia="黑体"/>
          <w:sz w:val="22"/>
          <w:szCs w:val="22"/>
        </w:rPr>
        <w:t>图纸（另册）</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_Toc448097408 \h </w:instrText>
      </w:r>
      <w:r>
        <w:rPr>
          <w:rFonts w:ascii="黑体" w:hAnsi="黑体" w:eastAsia="黑体"/>
          <w:sz w:val="22"/>
          <w:szCs w:val="22"/>
        </w:rPr>
        <w:fldChar w:fldCharType="separate"/>
      </w:r>
      <w:r>
        <w:rPr>
          <w:rFonts w:ascii="黑体" w:hAnsi="黑体" w:eastAsia="黑体"/>
          <w:sz w:val="22"/>
          <w:szCs w:val="22"/>
        </w:rPr>
        <w:t>- 33 -</w:t>
      </w:r>
      <w:r>
        <w:rPr>
          <w:rFonts w:ascii="黑体" w:hAnsi="黑体" w:eastAsia="黑体"/>
          <w:sz w:val="22"/>
          <w:szCs w:val="22"/>
        </w:rPr>
        <w:fldChar w:fldCharType="end"/>
      </w:r>
      <w:r>
        <w:rPr>
          <w:rFonts w:ascii="黑体" w:hAnsi="黑体" w:eastAsia="黑体"/>
          <w:sz w:val="22"/>
          <w:szCs w:val="22"/>
        </w:rPr>
        <w:fldChar w:fldCharType="end"/>
      </w:r>
    </w:p>
    <w:p>
      <w:pPr>
        <w:pStyle w:val="36"/>
        <w:tabs>
          <w:tab w:val="right" w:leader="dot" w:pos="8290"/>
        </w:tabs>
        <w:spacing w:line="480" w:lineRule="auto"/>
        <w:rPr>
          <w:rFonts w:ascii="黑体" w:hAnsi="黑体" w:eastAsia="黑体" w:cstheme="minorBidi"/>
          <w:sz w:val="22"/>
          <w:szCs w:val="22"/>
        </w:rPr>
      </w:pPr>
      <w:r>
        <w:fldChar w:fldCharType="begin"/>
      </w:r>
      <w:r>
        <w:instrText xml:space="preserve"> HYPERLINK \l "_Toc448097409" </w:instrText>
      </w:r>
      <w:r>
        <w:fldChar w:fldCharType="separate"/>
      </w:r>
      <w:r>
        <w:rPr>
          <w:rStyle w:val="58"/>
          <w:rFonts w:hint="eastAsia" w:ascii="黑体" w:hAnsi="黑体" w:eastAsia="黑体"/>
          <w:sz w:val="22"/>
          <w:szCs w:val="22"/>
        </w:rPr>
        <w:t>第六章</w:t>
      </w:r>
      <w:r>
        <w:rPr>
          <w:rStyle w:val="58"/>
          <w:rFonts w:ascii="黑体" w:hAnsi="黑体" w:eastAsia="黑体"/>
          <w:sz w:val="22"/>
          <w:szCs w:val="22"/>
        </w:rPr>
        <w:t xml:space="preserve">  </w:t>
      </w:r>
      <w:r>
        <w:rPr>
          <w:rStyle w:val="58"/>
          <w:rFonts w:hint="eastAsia" w:ascii="黑体" w:hAnsi="黑体" w:eastAsia="黑体"/>
          <w:sz w:val="22"/>
          <w:szCs w:val="22"/>
        </w:rPr>
        <w:t>投标文件格式</w:t>
      </w:r>
      <w:r>
        <w:rPr>
          <w:rFonts w:ascii="黑体" w:hAnsi="黑体" w:eastAsia="黑体"/>
          <w:sz w:val="22"/>
          <w:szCs w:val="22"/>
        </w:rPr>
        <w:tab/>
      </w:r>
      <w:r>
        <w:rPr>
          <w:rFonts w:ascii="黑体" w:hAnsi="黑体" w:eastAsia="黑体"/>
          <w:sz w:val="22"/>
          <w:szCs w:val="22"/>
        </w:rPr>
        <w:fldChar w:fldCharType="begin"/>
      </w:r>
      <w:r>
        <w:rPr>
          <w:rFonts w:ascii="黑体" w:hAnsi="黑体" w:eastAsia="黑体"/>
          <w:sz w:val="22"/>
          <w:szCs w:val="22"/>
        </w:rPr>
        <w:instrText xml:space="preserve"> PAGEREF _Toc448097409 \h </w:instrText>
      </w:r>
      <w:r>
        <w:rPr>
          <w:rFonts w:ascii="黑体" w:hAnsi="黑体" w:eastAsia="黑体"/>
          <w:sz w:val="22"/>
          <w:szCs w:val="22"/>
        </w:rPr>
        <w:fldChar w:fldCharType="separate"/>
      </w:r>
      <w:r>
        <w:rPr>
          <w:rFonts w:ascii="黑体" w:hAnsi="黑体" w:eastAsia="黑体"/>
          <w:sz w:val="22"/>
          <w:szCs w:val="22"/>
        </w:rPr>
        <w:t>- 33 -</w:t>
      </w:r>
      <w:r>
        <w:rPr>
          <w:rFonts w:ascii="黑体" w:hAnsi="黑体" w:eastAsia="黑体"/>
          <w:sz w:val="22"/>
          <w:szCs w:val="22"/>
        </w:rPr>
        <w:fldChar w:fldCharType="end"/>
      </w:r>
      <w:r>
        <w:rPr>
          <w:rFonts w:ascii="黑体" w:hAnsi="黑体" w:eastAsia="黑体"/>
          <w:sz w:val="22"/>
          <w:szCs w:val="22"/>
        </w:rPr>
        <w:fldChar w:fldCharType="end"/>
      </w:r>
    </w:p>
    <w:p>
      <w:pPr>
        <w:tabs>
          <w:tab w:val="right" w:leader="dot" w:pos="8364"/>
        </w:tabs>
        <w:spacing w:line="480" w:lineRule="auto"/>
        <w:rPr>
          <w:b/>
        </w:rPr>
      </w:pPr>
      <w:r>
        <w:rPr>
          <w:rFonts w:hint="eastAsia" w:ascii="黑体" w:hAnsi="黑体" w:eastAsia="黑体"/>
          <w:b/>
          <w:sz w:val="22"/>
        </w:rPr>
        <w:fldChar w:fldCharType="end"/>
      </w:r>
    </w:p>
    <w:p>
      <w:pPr>
        <w:spacing w:line="560" w:lineRule="exact"/>
        <w:rPr>
          <w:b/>
        </w:rPr>
        <w:sectPr>
          <w:footerReference r:id="rId6" w:type="first"/>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r>
        <w:rPr>
          <w:rFonts w:hint="eastAsia"/>
          <w:b/>
        </w:rPr>
        <w:t xml:space="preserve">                                                          </w:t>
      </w:r>
    </w:p>
    <w:p>
      <w:pPr>
        <w:pStyle w:val="48"/>
      </w:pPr>
      <w:bookmarkStart w:id="0" w:name="_Toc448097401"/>
      <w:r>
        <w:rPr>
          <w:rFonts w:hint="eastAsia"/>
        </w:rPr>
        <w:t>第一章 招标公告</w:t>
      </w:r>
      <w:bookmarkEnd w:id="0"/>
    </w:p>
    <w:p>
      <w:pPr>
        <w:widowControl/>
        <w:snapToGrid w:val="0"/>
        <w:spacing w:line="360" w:lineRule="exact"/>
        <w:jc w:val="left"/>
        <w:rPr>
          <w:rFonts w:cs="Arial" w:asciiTheme="minorEastAsia" w:hAnsiTheme="minorEastAsia"/>
          <w:b/>
          <w:bCs/>
          <w:kern w:val="0"/>
          <w:sz w:val="22"/>
        </w:rPr>
      </w:pPr>
    </w:p>
    <w:p>
      <w:pPr>
        <w:pStyle w:val="125"/>
        <w:widowControl/>
        <w:numPr>
          <w:ilvl w:val="0"/>
          <w:numId w:val="4"/>
        </w:numPr>
        <w:snapToGrid w:val="0"/>
        <w:spacing w:line="360" w:lineRule="exact"/>
        <w:ind w:firstLineChars="0"/>
        <w:jc w:val="left"/>
        <w:rPr>
          <w:rFonts w:cs="Arial" w:asciiTheme="minorEastAsia" w:hAnsiTheme="minorEastAsia"/>
          <w:kern w:val="0"/>
          <w:sz w:val="22"/>
          <w:szCs w:val="22"/>
        </w:rPr>
      </w:pPr>
      <w:r>
        <w:rPr>
          <w:rFonts w:hint="eastAsia" w:cs="Arial" w:asciiTheme="minorEastAsia" w:hAnsiTheme="minorEastAsia"/>
          <w:b/>
          <w:bCs/>
          <w:kern w:val="0"/>
          <w:sz w:val="22"/>
          <w:szCs w:val="22"/>
        </w:rPr>
        <w:t>招标内容</w:t>
      </w:r>
    </w:p>
    <w:p>
      <w:pPr>
        <w:widowControl/>
        <w:numPr>
          <w:ilvl w:val="0"/>
          <w:numId w:val="5"/>
        </w:numPr>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项目概况：药品仓储基地3#库屋面维修项目</w:t>
      </w:r>
    </w:p>
    <w:p>
      <w:pPr>
        <w:widowControl/>
        <w:numPr>
          <w:ilvl w:val="0"/>
          <w:numId w:val="5"/>
        </w:numPr>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招标内容：详见施工</w:t>
      </w:r>
      <w:r>
        <w:rPr>
          <w:rFonts w:cs="Arial" w:asciiTheme="minorEastAsia" w:hAnsiTheme="minorEastAsia"/>
          <w:kern w:val="0"/>
          <w:sz w:val="22"/>
        </w:rPr>
        <w:t>图纸及</w:t>
      </w:r>
      <w:r>
        <w:rPr>
          <w:rFonts w:hint="eastAsia" w:cs="Arial" w:asciiTheme="minorEastAsia" w:hAnsiTheme="minorEastAsia"/>
          <w:kern w:val="0"/>
          <w:sz w:val="22"/>
        </w:rPr>
        <w:t>清单</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（3）本</w:t>
      </w:r>
      <w:r>
        <w:rPr>
          <w:rFonts w:cs="Arial" w:asciiTheme="minorEastAsia" w:hAnsiTheme="minorEastAsia"/>
          <w:kern w:val="0"/>
          <w:sz w:val="22"/>
        </w:rPr>
        <w:t>项目</w:t>
      </w:r>
      <w:r>
        <w:rPr>
          <w:rFonts w:hint="eastAsia" w:cs="Arial" w:asciiTheme="minorEastAsia" w:hAnsiTheme="minorEastAsia"/>
          <w:kern w:val="0"/>
          <w:sz w:val="22"/>
        </w:rPr>
        <w:t>由浙江航空开发有限责任</w:t>
      </w:r>
      <w:r>
        <w:rPr>
          <w:rFonts w:cs="Arial" w:asciiTheme="minorEastAsia" w:hAnsiTheme="minorEastAsia"/>
          <w:kern w:val="0"/>
          <w:sz w:val="22"/>
        </w:rPr>
        <w:t>公司</w:t>
      </w:r>
      <w:r>
        <w:rPr>
          <w:rFonts w:hint="eastAsia" w:cs="Arial" w:asciiTheme="minorEastAsia" w:hAnsiTheme="minorEastAsia"/>
          <w:kern w:val="0"/>
          <w:sz w:val="22"/>
        </w:rPr>
        <w:t>公开</w:t>
      </w:r>
      <w:r>
        <w:rPr>
          <w:rFonts w:cs="Arial" w:asciiTheme="minorEastAsia" w:hAnsiTheme="minorEastAsia"/>
          <w:kern w:val="0"/>
          <w:sz w:val="22"/>
        </w:rPr>
        <w:t>招标。</w:t>
      </w:r>
      <w:r>
        <w:rPr>
          <w:rFonts w:hint="eastAsia" w:cs="Arial" w:asciiTheme="minorEastAsia" w:hAnsiTheme="minorEastAsia"/>
          <w:kern w:val="0"/>
          <w:sz w:val="22"/>
        </w:rPr>
        <w:t xml:space="preserve"> </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w:t>
      </w:r>
      <w:r>
        <w:rPr>
          <w:rFonts w:cs="Arial" w:asciiTheme="minorEastAsia" w:hAnsiTheme="minorEastAsia"/>
          <w:kern w:val="0"/>
          <w:sz w:val="22"/>
        </w:rPr>
        <w:t>4</w:t>
      </w:r>
      <w:r>
        <w:rPr>
          <w:rFonts w:hint="eastAsia" w:cs="Arial" w:asciiTheme="minorEastAsia" w:hAnsiTheme="minorEastAsia"/>
          <w:kern w:val="0"/>
          <w:sz w:val="22"/>
        </w:rPr>
        <w:t>）要求</w:t>
      </w:r>
      <w:r>
        <w:rPr>
          <w:rFonts w:hint="eastAsia" w:ascii="宋体" w:hAnsi="宋体" w:cs="Calibri"/>
          <w:kern w:val="0"/>
          <w:sz w:val="22"/>
        </w:rPr>
        <w:t>合同签订后</w:t>
      </w:r>
      <w:r>
        <w:rPr>
          <w:rFonts w:hint="eastAsia" w:cs="Arial" w:asciiTheme="minorEastAsia" w:hAnsiTheme="minorEastAsia"/>
          <w:kern w:val="0"/>
          <w:sz w:val="22"/>
          <w:u w:val="single"/>
        </w:rPr>
        <w:t>20</w:t>
      </w:r>
      <w:r>
        <w:rPr>
          <w:rFonts w:hint="eastAsia" w:cs="Arial" w:asciiTheme="minorEastAsia" w:hAnsiTheme="minorEastAsia"/>
          <w:kern w:val="0"/>
          <w:sz w:val="22"/>
        </w:rPr>
        <w:t>日历天内完工。</w:t>
      </w:r>
    </w:p>
    <w:p>
      <w:pPr>
        <w:widowControl/>
        <w:snapToGrid w:val="0"/>
        <w:spacing w:line="340" w:lineRule="exact"/>
        <w:jc w:val="left"/>
        <w:rPr>
          <w:rFonts w:cs="Arial" w:asciiTheme="minorEastAsia" w:hAnsiTheme="minorEastAsia"/>
          <w:b/>
          <w:bCs/>
          <w:kern w:val="0"/>
          <w:sz w:val="22"/>
        </w:rPr>
      </w:pPr>
      <w:r>
        <w:rPr>
          <w:rFonts w:hint="eastAsia" w:cs="Arial" w:asciiTheme="minorEastAsia" w:hAnsiTheme="minorEastAsia"/>
          <w:b/>
          <w:bCs/>
          <w:kern w:val="0"/>
          <w:sz w:val="22"/>
        </w:rPr>
        <w:t>二、投标人资格要求</w:t>
      </w:r>
      <w:r>
        <w:rPr>
          <w:rFonts w:cs="Arial" w:asciiTheme="minorEastAsia" w:hAnsiTheme="minorEastAsia"/>
          <w:b/>
          <w:bCs/>
          <w:kern w:val="0"/>
          <w:sz w:val="22"/>
        </w:rPr>
        <w:t> </w:t>
      </w:r>
    </w:p>
    <w:p>
      <w:pPr>
        <w:ind w:firstLine="440" w:firstLineChars="200"/>
      </w:pPr>
      <w:r>
        <w:rPr>
          <w:rFonts w:hint="eastAsia" w:cs="Arial" w:asciiTheme="minorEastAsia" w:hAnsiTheme="minorEastAsia"/>
          <w:kern w:val="0"/>
          <w:sz w:val="22"/>
        </w:rPr>
        <w:t>（1）</w:t>
      </w:r>
      <w:r>
        <w:rPr>
          <w:rFonts w:hint="eastAsia" w:ascii="宋体" w:hAnsi="宋体"/>
          <w:sz w:val="22"/>
        </w:rPr>
        <w:t>投标人具备防水防腐保温工程专业承包三级及以上资质或</w:t>
      </w:r>
      <w:r>
        <w:rPr>
          <w:rFonts w:hint="eastAsia" w:ascii="宋体" w:hAnsi="宋体"/>
          <w:sz w:val="22"/>
          <w:u w:val="single"/>
        </w:rPr>
        <w:t>钢结构</w:t>
      </w:r>
      <w:r>
        <w:rPr>
          <w:rFonts w:hint="eastAsia" w:ascii="宋体" w:hAnsi="宋体"/>
          <w:sz w:val="22"/>
        </w:rPr>
        <w:t>专业承包</w:t>
      </w:r>
      <w:r>
        <w:rPr>
          <w:rFonts w:hint="eastAsia" w:ascii="宋体" w:hAnsi="宋体"/>
          <w:sz w:val="22"/>
          <w:u w:val="single"/>
        </w:rPr>
        <w:t xml:space="preserve">三 </w:t>
      </w:r>
      <w:r>
        <w:rPr>
          <w:rFonts w:hint="eastAsia" w:ascii="宋体" w:hAnsi="宋体"/>
          <w:sz w:val="22"/>
        </w:rPr>
        <w:t>级及以上资质或建筑施工总承包</w:t>
      </w:r>
      <w:r>
        <w:rPr>
          <w:rFonts w:hint="eastAsia" w:ascii="宋体" w:hAnsi="宋体"/>
          <w:sz w:val="22"/>
          <w:u w:val="single"/>
        </w:rPr>
        <w:t>三</w:t>
      </w:r>
      <w:r>
        <w:rPr>
          <w:rFonts w:hint="eastAsia" w:ascii="宋体" w:hAnsi="宋体"/>
          <w:sz w:val="22"/>
        </w:rPr>
        <w:t>级及以上资质。</w:t>
      </w:r>
    </w:p>
    <w:p>
      <w:pPr>
        <w:ind w:firstLine="440" w:firstLineChars="200"/>
      </w:pPr>
      <w:r>
        <w:rPr>
          <w:rFonts w:hint="eastAsia" w:cs="Arial" w:asciiTheme="minorEastAsia" w:hAnsiTheme="minorEastAsia"/>
          <w:kern w:val="0"/>
          <w:sz w:val="22"/>
        </w:rPr>
        <w:t>（2）</w:t>
      </w:r>
      <w:r>
        <w:rPr>
          <w:rFonts w:hint="eastAsia" w:ascii="宋体" w:hAnsi="宋体"/>
          <w:sz w:val="22"/>
        </w:rPr>
        <w:t>投标人应具有有效的《安全生产许可证》。</w:t>
      </w:r>
    </w:p>
    <w:p>
      <w:pPr>
        <w:widowControl/>
        <w:adjustRightInd w:val="0"/>
        <w:snapToGrid w:val="0"/>
        <w:spacing w:line="340" w:lineRule="exact"/>
        <w:ind w:firstLine="440" w:firstLineChars="200"/>
        <w:rPr>
          <w:rFonts w:ascii="宋体" w:hAnsi="宋体" w:cs="Arial"/>
          <w:kern w:val="0"/>
          <w:sz w:val="22"/>
        </w:rPr>
      </w:pPr>
      <w:r>
        <w:rPr>
          <w:rFonts w:hint="eastAsia" w:ascii="宋体" w:hAnsi="宋体" w:cs="Arial"/>
          <w:kern w:val="0"/>
          <w:sz w:val="22"/>
        </w:rPr>
        <w:t>（</w:t>
      </w:r>
      <w:r>
        <w:rPr>
          <w:rFonts w:ascii="宋体" w:hAnsi="宋体" w:cs="Arial"/>
          <w:kern w:val="0"/>
          <w:sz w:val="22"/>
        </w:rPr>
        <w:t>3</w:t>
      </w:r>
      <w:r>
        <w:rPr>
          <w:rFonts w:hint="eastAsia" w:ascii="宋体" w:hAnsi="宋体" w:cs="Arial"/>
          <w:kern w:val="0"/>
          <w:sz w:val="22"/>
        </w:rPr>
        <w:t>）本项目不接受联合体投标。</w:t>
      </w:r>
    </w:p>
    <w:p>
      <w:pPr>
        <w:widowControl/>
        <w:snapToGrid w:val="0"/>
        <w:spacing w:line="340" w:lineRule="exact"/>
        <w:jc w:val="left"/>
        <w:rPr>
          <w:rFonts w:cs="Arial" w:asciiTheme="minorEastAsia" w:hAnsiTheme="minorEastAsia"/>
          <w:b/>
          <w:bCs/>
          <w:kern w:val="0"/>
          <w:sz w:val="22"/>
        </w:rPr>
      </w:pPr>
      <w:r>
        <w:rPr>
          <w:rFonts w:hint="eastAsia" w:cs="Arial" w:asciiTheme="minorEastAsia" w:hAnsiTheme="minorEastAsia"/>
          <w:b/>
          <w:bCs/>
          <w:kern w:val="0"/>
          <w:sz w:val="22"/>
        </w:rPr>
        <w:t>三、招标文件获取</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凡符合资格条件并有投标意向的潜在投标人，请通过杭州萧山机场有限公司主页</w:t>
      </w:r>
      <w:r>
        <w:fldChar w:fldCharType="begin"/>
      </w:r>
      <w:r>
        <w:instrText xml:space="preserve"> HYPERLINK "http://www.hzairport.com/zbxx.aspx" </w:instrText>
      </w:r>
      <w:r>
        <w:fldChar w:fldCharType="separate"/>
      </w:r>
      <w:r>
        <w:rPr>
          <w:rFonts w:cs="Arial" w:asciiTheme="minorEastAsia" w:hAnsiTheme="minorEastAsia"/>
          <w:kern w:val="0"/>
          <w:sz w:val="22"/>
        </w:rPr>
        <w:t>http://www.hzairport.com/zbxx.aspx</w:t>
      </w:r>
      <w:r>
        <w:rPr>
          <w:rFonts w:cs="Arial" w:asciiTheme="minorEastAsia" w:hAnsiTheme="minorEastAsia"/>
          <w:kern w:val="0"/>
          <w:sz w:val="22"/>
        </w:rPr>
        <w:fldChar w:fldCharType="end"/>
      </w:r>
      <w:r>
        <w:rPr>
          <w:rFonts w:hint="eastAsia" w:cs="Arial" w:asciiTheme="minorEastAsia" w:hAnsiTheme="minorEastAsia"/>
          <w:kern w:val="0"/>
          <w:sz w:val="22"/>
        </w:rPr>
        <w:t>自行下载招标文件。</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招标文件下载</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工程量清单下载</w:t>
      </w:r>
    </w:p>
    <w:p>
      <w:pPr>
        <w:widowControl/>
        <w:snapToGrid w:val="0"/>
        <w:spacing w:line="340" w:lineRule="exact"/>
        <w:jc w:val="left"/>
        <w:rPr>
          <w:rFonts w:cs="Arial" w:asciiTheme="minorEastAsia" w:hAnsiTheme="minorEastAsia"/>
          <w:b/>
          <w:bCs/>
          <w:kern w:val="0"/>
          <w:sz w:val="22"/>
        </w:rPr>
      </w:pPr>
      <w:r>
        <w:rPr>
          <w:rFonts w:hint="eastAsia" w:cs="Arial" w:asciiTheme="minorEastAsia" w:hAnsiTheme="minorEastAsia"/>
          <w:b/>
          <w:bCs/>
          <w:kern w:val="0"/>
          <w:sz w:val="22"/>
        </w:rPr>
        <w:t>四、投标文件的递交</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（1）投标文件递交截止时间：2019年12月</w:t>
      </w:r>
      <w:r>
        <w:rPr>
          <w:rFonts w:hint="eastAsia" w:cs="Arial" w:asciiTheme="minorEastAsia" w:hAnsiTheme="minorEastAsia"/>
          <w:kern w:val="0"/>
          <w:sz w:val="22"/>
          <w:lang w:val="en-US" w:eastAsia="zh-CN"/>
        </w:rPr>
        <w:t>6</w:t>
      </w:r>
      <w:bookmarkStart w:id="181" w:name="_GoBack"/>
      <w:bookmarkEnd w:id="181"/>
      <w:r>
        <w:rPr>
          <w:rFonts w:hint="eastAsia" w:cs="Arial" w:asciiTheme="minorEastAsia" w:hAnsiTheme="minorEastAsia"/>
          <w:kern w:val="0"/>
          <w:sz w:val="22"/>
        </w:rPr>
        <w:t>日上午9时00分（北京时间）。投标文件递交地点：</w:t>
      </w:r>
      <w:r>
        <w:rPr>
          <w:rFonts w:hint="eastAsia" w:asciiTheme="minorEastAsia" w:hAnsiTheme="minorEastAsia"/>
          <w:sz w:val="22"/>
        </w:rPr>
        <w:t>杭州萧山国际机场内航空货站A区A1223室</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（2）</w:t>
      </w:r>
      <w:r>
        <w:rPr>
          <w:rFonts w:hint="eastAsia" w:asciiTheme="minorEastAsia" w:hAnsiTheme="minorEastAsia"/>
          <w:sz w:val="22"/>
        </w:rPr>
        <w:t>逾期送达或者未送达指定地点的投标文件，招标人不予受理。</w:t>
      </w:r>
    </w:p>
    <w:p>
      <w:pPr>
        <w:widowControl/>
        <w:snapToGrid w:val="0"/>
        <w:spacing w:line="340" w:lineRule="exact"/>
        <w:jc w:val="left"/>
        <w:rPr>
          <w:rFonts w:cs="Arial" w:asciiTheme="minorEastAsia" w:hAnsiTheme="minorEastAsia"/>
          <w:b/>
          <w:bCs/>
          <w:kern w:val="0"/>
          <w:sz w:val="22"/>
        </w:rPr>
      </w:pPr>
      <w:r>
        <w:rPr>
          <w:rFonts w:hint="eastAsia" w:cs="Arial" w:asciiTheme="minorEastAsia" w:hAnsiTheme="minorEastAsia"/>
          <w:b/>
          <w:bCs/>
          <w:kern w:val="0"/>
          <w:sz w:val="22"/>
        </w:rPr>
        <w:t>五、发布公告的媒介</w:t>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本次招标公告在</w:t>
      </w:r>
      <w:r>
        <w:rPr>
          <w:rFonts w:hint="eastAsia" w:cs="Arial" w:asciiTheme="minorEastAsia" w:hAnsiTheme="minorEastAsia"/>
          <w:b/>
          <w:kern w:val="0"/>
          <w:sz w:val="22"/>
        </w:rPr>
        <w:t>中国采购与招标网和杭州萧山机场有限公司</w:t>
      </w:r>
      <w:r>
        <w:rPr>
          <w:rFonts w:hint="eastAsia" w:cs="Arial" w:asciiTheme="minorEastAsia" w:hAnsiTheme="minorEastAsia"/>
          <w:kern w:val="0"/>
          <w:sz w:val="22"/>
        </w:rPr>
        <w:t>主页上发布</w:t>
      </w:r>
    </w:p>
    <w:p>
      <w:pPr>
        <w:widowControl/>
        <w:adjustRightInd w:val="0"/>
        <w:snapToGrid w:val="0"/>
        <w:spacing w:line="340" w:lineRule="exact"/>
        <w:ind w:firstLine="440" w:firstLineChars="200"/>
        <w:rPr>
          <w:rFonts w:cs="Arial" w:asciiTheme="minorEastAsia" w:hAnsiTheme="minorEastAsia"/>
          <w:kern w:val="0"/>
          <w:sz w:val="22"/>
        </w:rPr>
      </w:pPr>
      <w:r>
        <w:rPr>
          <w:rFonts w:hint="eastAsia" w:asciiTheme="minorEastAsia" w:hAnsiTheme="minorEastAsia"/>
          <w:sz w:val="22"/>
        </w:rPr>
        <w:t>中国采购与招标网</w:t>
      </w:r>
      <w:r>
        <w:rPr>
          <w:rFonts w:asciiTheme="minorEastAsia" w:hAnsiTheme="minorEastAsia"/>
          <w:sz w:val="22"/>
        </w:rPr>
        <w:t xml:space="preserve">  </w:t>
      </w:r>
      <w:r>
        <w:fldChar w:fldCharType="begin"/>
      </w:r>
      <w:r>
        <w:instrText xml:space="preserve"> HYPERLINK "http://www.chinabidding.com.cn" </w:instrText>
      </w:r>
      <w:r>
        <w:fldChar w:fldCharType="separate"/>
      </w:r>
      <w:r>
        <w:rPr>
          <w:rFonts w:asciiTheme="minorEastAsia" w:hAnsiTheme="minorEastAsia"/>
          <w:sz w:val="22"/>
        </w:rPr>
        <w:t>http://www.chinabidding.com.cn</w:t>
      </w:r>
      <w:r>
        <w:rPr>
          <w:rFonts w:asciiTheme="minorEastAsia" w:hAnsiTheme="minorEastAsia"/>
          <w:sz w:val="22"/>
        </w:rPr>
        <w:fldChar w:fldCharType="end"/>
      </w:r>
    </w:p>
    <w:p>
      <w:pPr>
        <w:widowControl/>
        <w:adjustRightInd w:val="0"/>
        <w:snapToGrid w:val="0"/>
        <w:spacing w:line="340" w:lineRule="exact"/>
        <w:ind w:firstLine="440" w:firstLineChars="200"/>
        <w:rPr>
          <w:rFonts w:cs="Arial" w:asciiTheme="minorEastAsia" w:hAnsiTheme="minorEastAsia"/>
          <w:kern w:val="0"/>
          <w:sz w:val="22"/>
        </w:rPr>
      </w:pPr>
      <w:r>
        <w:rPr>
          <w:rFonts w:hint="eastAsia" w:cs="Arial" w:asciiTheme="minorEastAsia" w:hAnsiTheme="minorEastAsia"/>
          <w:kern w:val="0"/>
          <w:sz w:val="22"/>
        </w:rPr>
        <w:t>杭州萧山机场有限公司主页http://www.hzairport.com</w:t>
      </w:r>
    </w:p>
    <w:p>
      <w:pPr>
        <w:widowControl/>
        <w:snapToGrid w:val="0"/>
        <w:spacing w:line="340" w:lineRule="exact"/>
        <w:jc w:val="left"/>
        <w:rPr>
          <w:rFonts w:cs="Arial" w:asciiTheme="minorEastAsia" w:hAnsiTheme="minorEastAsia"/>
          <w:b/>
          <w:bCs/>
          <w:kern w:val="0"/>
          <w:sz w:val="22"/>
        </w:rPr>
      </w:pPr>
      <w:r>
        <w:rPr>
          <w:rFonts w:hint="eastAsia" w:cs="Arial" w:asciiTheme="minorEastAsia" w:hAnsiTheme="minorEastAsia"/>
          <w:b/>
          <w:bCs/>
          <w:kern w:val="0"/>
          <w:sz w:val="22"/>
        </w:rPr>
        <w:t>六、联系方式</w:t>
      </w:r>
    </w:p>
    <w:p>
      <w:pPr>
        <w:widowControl/>
        <w:adjustRightInd w:val="0"/>
        <w:snapToGrid w:val="0"/>
        <w:spacing w:line="340" w:lineRule="exact"/>
        <w:ind w:firstLine="440" w:firstLineChars="200"/>
        <w:rPr>
          <w:rFonts w:asciiTheme="minorEastAsia" w:hAnsiTheme="minorEastAsia"/>
          <w:sz w:val="22"/>
        </w:rPr>
      </w:pPr>
      <w:r>
        <w:rPr>
          <w:rFonts w:hint="eastAsia" w:asciiTheme="minorEastAsia" w:hAnsiTheme="minorEastAsia"/>
          <w:sz w:val="22"/>
        </w:rPr>
        <w:t xml:space="preserve">投标联系人： 王建坤      联系电话： </w:t>
      </w:r>
      <w:r>
        <w:rPr>
          <w:rFonts w:asciiTheme="minorEastAsia" w:hAnsiTheme="minorEastAsia"/>
          <w:sz w:val="22"/>
        </w:rPr>
        <w:t>8</w:t>
      </w:r>
      <w:r>
        <w:rPr>
          <w:rFonts w:hint="eastAsia" w:asciiTheme="minorEastAsia" w:hAnsiTheme="minorEastAsia"/>
          <w:sz w:val="22"/>
        </w:rPr>
        <w:t xml:space="preserve">6665003   </w:t>
      </w:r>
    </w:p>
    <w:p>
      <w:pPr>
        <w:widowControl/>
        <w:adjustRightInd w:val="0"/>
        <w:snapToGrid w:val="0"/>
        <w:spacing w:line="340" w:lineRule="exact"/>
        <w:ind w:firstLine="440" w:firstLineChars="200"/>
        <w:rPr>
          <w:rFonts w:asciiTheme="minorEastAsia" w:hAnsiTheme="minorEastAsia"/>
          <w:bCs/>
          <w:sz w:val="22"/>
        </w:rPr>
      </w:pPr>
      <w:r>
        <w:rPr>
          <w:rFonts w:hint="eastAsia" w:asciiTheme="minorEastAsia" w:hAnsiTheme="minorEastAsia"/>
          <w:bCs/>
          <w:sz w:val="22"/>
        </w:rPr>
        <w:t>招标监督人： 陈洲         联系电话： 86665009</w:t>
      </w:r>
    </w:p>
    <w:p>
      <w:pPr>
        <w:pStyle w:val="48"/>
        <w:rPr>
          <w:rFonts w:asciiTheme="minorEastAsia" w:hAnsiTheme="minorEastAsia"/>
          <w:bCs w:val="0"/>
          <w:sz w:val="22"/>
          <w:szCs w:val="22"/>
        </w:rPr>
      </w:pPr>
    </w:p>
    <w:p/>
    <w:p/>
    <w:p/>
    <w:p/>
    <w:p/>
    <w:p/>
    <w:p/>
    <w:p/>
    <w:p/>
    <w:p/>
    <w:p/>
    <w:p/>
    <w:p/>
    <w:p/>
    <w:p>
      <w:pPr>
        <w:pStyle w:val="48"/>
        <w:tabs>
          <w:tab w:val="left" w:pos="3960"/>
        </w:tabs>
        <w:jc w:val="both"/>
      </w:pPr>
      <w:r>
        <w:tab/>
      </w:r>
    </w:p>
    <w:p>
      <w:pPr>
        <w:pStyle w:val="48"/>
      </w:pPr>
      <w:bookmarkStart w:id="1" w:name="_Toc448097402"/>
      <w:bookmarkStart w:id="2" w:name="_Toc448097403"/>
      <w:r>
        <w:t>第</w:t>
      </w:r>
      <w:r>
        <w:rPr>
          <w:rFonts w:hint="eastAsia"/>
        </w:rPr>
        <w:t>二</w:t>
      </w:r>
      <w:r>
        <w:t>章  投标</w:t>
      </w:r>
      <w:r>
        <w:rPr>
          <w:rFonts w:hint="eastAsia"/>
        </w:rPr>
        <w:t>人须知及评标办法</w:t>
      </w:r>
      <w:bookmarkEnd w:id="1"/>
      <w:bookmarkEnd w:id="2"/>
    </w:p>
    <w:p>
      <w:pPr>
        <w:pStyle w:val="32"/>
        <w:spacing w:line="240" w:lineRule="auto"/>
        <w:jc w:val="center"/>
        <w:rPr>
          <w:b/>
          <w:sz w:val="28"/>
          <w:szCs w:val="28"/>
        </w:rPr>
      </w:pPr>
      <w:r>
        <w:rPr>
          <w:rFonts w:hint="eastAsia"/>
          <w:b/>
          <w:sz w:val="28"/>
          <w:szCs w:val="28"/>
        </w:rPr>
        <w:t>投标人须知前附表</w:t>
      </w:r>
    </w:p>
    <w:tbl>
      <w:tblPr>
        <w:tblStyle w:val="52"/>
        <w:tblW w:w="94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004"/>
        <w:gridCol w:w="64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51" w:type="dxa"/>
            <w:tcBorders>
              <w:top w:val="single" w:color="auto" w:sz="12" w:space="0"/>
            </w:tcBorders>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条款号</w:t>
            </w:r>
          </w:p>
        </w:tc>
        <w:tc>
          <w:tcPr>
            <w:tcW w:w="2004" w:type="dxa"/>
            <w:tcBorders>
              <w:top w:val="single" w:color="auto" w:sz="12" w:space="0"/>
            </w:tcBorders>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条 款 名 称</w:t>
            </w:r>
          </w:p>
        </w:tc>
        <w:tc>
          <w:tcPr>
            <w:tcW w:w="6487" w:type="dxa"/>
            <w:tcBorders>
              <w:top w:val="single" w:color="auto" w:sz="12" w:space="0"/>
            </w:tcBorders>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sz w:val="22"/>
              </w:rPr>
              <w:t>1.1</w:t>
            </w:r>
            <w:r>
              <w:rPr>
                <w:rFonts w:hint="eastAsia" w:ascii="宋体" w:hAnsi="宋体" w:cs="Calibri"/>
                <w:sz w:val="22"/>
              </w:rPr>
              <w:t>.1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项目名称</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Arial"/>
                <w:kern w:val="0"/>
                <w:sz w:val="22"/>
              </w:rPr>
              <w:t>药品仓储基地3#库屋面维修项目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sz w:val="22"/>
              </w:rPr>
            </w:pPr>
            <w:r>
              <w:rPr>
                <w:rFonts w:ascii="宋体" w:hAnsi="宋体" w:cs="Calibri"/>
                <w:sz w:val="22"/>
              </w:rPr>
              <w:t>1.1.2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建设地点</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杭州萧山国际机场</w:t>
            </w:r>
            <w:r>
              <w:rPr>
                <w:rFonts w:ascii="宋体" w:hAnsi="宋体" w:cs="Calibri"/>
                <w:sz w:val="22"/>
              </w:rPr>
              <w:t>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sz w:val="22"/>
              </w:rPr>
            </w:pPr>
            <w:r>
              <w:rPr>
                <w:rFonts w:ascii="宋体" w:hAnsi="宋体" w:cs="Calibri"/>
                <w:sz w:val="22"/>
              </w:rPr>
              <w:t>1.2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资金来源</w:t>
            </w:r>
          </w:p>
        </w:tc>
        <w:tc>
          <w:tcPr>
            <w:tcW w:w="6487" w:type="dxa"/>
            <w:vAlign w:val="center"/>
          </w:tcPr>
          <w:p>
            <w:pPr>
              <w:autoSpaceDE w:val="0"/>
              <w:autoSpaceDN w:val="0"/>
              <w:adjustRightInd w:val="0"/>
              <w:snapToGrid w:val="0"/>
              <w:rPr>
                <w:rFonts w:ascii="宋体" w:hAnsi="宋体" w:cs="Calibri"/>
                <w:kern w:val="0"/>
                <w:sz w:val="22"/>
              </w:rPr>
            </w:pPr>
            <w:r>
              <w:rPr>
                <w:rStyle w:val="91"/>
                <w:rFonts w:hint="eastAsia" w:cs="Calibri"/>
                <w:sz w:val="22"/>
              </w:rPr>
              <w:t>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1.3</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招标</w:t>
            </w:r>
            <w:r>
              <w:rPr>
                <w:rFonts w:hint="eastAsia" w:ascii="宋体" w:hAnsi="宋体" w:cs="Calibri"/>
                <w:kern w:val="0"/>
                <w:sz w:val="22"/>
              </w:rPr>
              <w:t>内容</w:t>
            </w:r>
          </w:p>
        </w:tc>
        <w:tc>
          <w:tcPr>
            <w:tcW w:w="6487" w:type="dxa"/>
            <w:vAlign w:val="center"/>
          </w:tcPr>
          <w:p>
            <w:pPr>
              <w:autoSpaceDE w:val="0"/>
              <w:autoSpaceDN w:val="0"/>
              <w:adjustRightInd w:val="0"/>
              <w:snapToGrid w:val="0"/>
              <w:rPr>
                <w:rFonts w:ascii="宋体" w:hAnsi="宋体" w:cs="Calibri"/>
                <w:kern w:val="0"/>
                <w:sz w:val="22"/>
              </w:rPr>
            </w:pPr>
            <w:r>
              <w:rPr>
                <w:rFonts w:cs="Calibri" w:asciiTheme="minorEastAsia" w:hAnsiTheme="minorEastAsia"/>
                <w:kern w:val="0"/>
                <w:sz w:val="22"/>
              </w:rPr>
              <w:t>详见招标公告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1.4</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招标方式</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公开招标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1.5</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资格审查</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采用资格后审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1.6</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投标人资质条件、能力和信誉</w:t>
            </w:r>
          </w:p>
        </w:tc>
        <w:tc>
          <w:tcPr>
            <w:tcW w:w="6487" w:type="dxa"/>
            <w:vAlign w:val="center"/>
          </w:tcPr>
          <w:p>
            <w:pPr>
              <w:autoSpaceDE w:val="0"/>
              <w:autoSpaceDN w:val="0"/>
              <w:adjustRightInd w:val="0"/>
              <w:snapToGrid w:val="0"/>
              <w:rPr>
                <w:rFonts w:ascii="宋体" w:hAnsi="宋体" w:cs="Calibri"/>
                <w:kern w:val="0"/>
                <w:sz w:val="22"/>
              </w:rPr>
            </w:pPr>
            <w:r>
              <w:rPr>
                <w:rFonts w:cs="Calibri" w:asciiTheme="minorEastAsia" w:hAnsiTheme="minorEastAsia"/>
                <w:kern w:val="0"/>
                <w:sz w:val="22"/>
              </w:rPr>
              <w:t>详见招标公告</w:t>
            </w:r>
            <w:r>
              <w:rPr>
                <w:rFonts w:hint="eastAsia" w:cs="Calibri" w:asciiTheme="minorEastAsia" w:hAnsiTheme="minorEastAsia"/>
                <w:kern w:val="0"/>
                <w:sz w:val="22"/>
              </w:rPr>
              <w:t>“</w:t>
            </w:r>
            <w:r>
              <w:rPr>
                <w:rFonts w:hint="eastAsia" w:cs="黑体" w:asciiTheme="minorEastAsia" w:hAnsiTheme="minorEastAsia"/>
                <w:kern w:val="0"/>
                <w:sz w:val="22"/>
              </w:rPr>
              <w:t>投标人资格要求”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1.7</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工期</w:t>
            </w:r>
            <w:r>
              <w:rPr>
                <w:rFonts w:hint="eastAsia" w:ascii="宋体" w:hAnsi="宋体" w:cs="Calibri"/>
                <w:kern w:val="0"/>
                <w:sz w:val="22"/>
              </w:rPr>
              <w:t>要求</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合同签订后</w:t>
            </w:r>
            <w:r>
              <w:rPr>
                <w:rFonts w:hint="eastAsia" w:ascii="宋体" w:hAnsi="宋体"/>
                <w:sz w:val="22"/>
                <w:u w:val="single"/>
              </w:rPr>
              <w:t>20</w:t>
            </w:r>
            <w:r>
              <w:rPr>
                <w:rFonts w:hint="eastAsia"/>
                <w:sz w:val="22"/>
              </w:rPr>
              <w:t>个日历天</w:t>
            </w:r>
            <w:r>
              <w:rPr>
                <w:rFonts w:hint="eastAsia" w:ascii="宋体" w:hAnsi="宋体" w:cs="Calibri"/>
                <w:kern w:val="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1.8</w:t>
            </w:r>
          </w:p>
        </w:tc>
        <w:tc>
          <w:tcPr>
            <w:tcW w:w="2004" w:type="dxa"/>
            <w:vAlign w:val="center"/>
          </w:tcPr>
          <w:p>
            <w:pPr>
              <w:autoSpaceDE w:val="0"/>
              <w:autoSpaceDN w:val="0"/>
              <w:adjustRightInd w:val="0"/>
              <w:snapToGrid w:val="0"/>
              <w:jc w:val="center"/>
              <w:rPr>
                <w:rFonts w:cs="Calibri" w:asciiTheme="minorEastAsia" w:hAnsiTheme="minorEastAsia"/>
                <w:kern w:val="0"/>
                <w:sz w:val="22"/>
              </w:rPr>
            </w:pPr>
            <w:r>
              <w:rPr>
                <w:rFonts w:hint="eastAsia" w:cs="Calibri" w:asciiTheme="minorEastAsia" w:hAnsiTheme="minorEastAsia"/>
                <w:kern w:val="0"/>
                <w:sz w:val="22"/>
              </w:rPr>
              <w:t>质量要求</w:t>
            </w:r>
          </w:p>
        </w:tc>
        <w:tc>
          <w:tcPr>
            <w:tcW w:w="6487" w:type="dxa"/>
            <w:vAlign w:val="center"/>
          </w:tcPr>
          <w:p>
            <w:pPr>
              <w:autoSpaceDE w:val="0"/>
              <w:autoSpaceDN w:val="0"/>
              <w:adjustRightInd w:val="0"/>
              <w:snapToGrid w:val="0"/>
              <w:rPr>
                <w:rFonts w:asciiTheme="minorEastAsia" w:hAnsiTheme="minorEastAsia"/>
                <w:color w:val="000000"/>
                <w:sz w:val="22"/>
              </w:rPr>
            </w:pPr>
            <w:r>
              <w:rPr>
                <w:rFonts w:hint="eastAsia" w:hAnsi="宋体" w:cs="宋体"/>
                <w:sz w:val="22"/>
              </w:rPr>
              <w:t>符合合同要求且一次验收合格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cs="Calibri" w:asciiTheme="minorEastAsia" w:hAnsiTheme="minorEastAsia"/>
                <w:kern w:val="0"/>
                <w:sz w:val="22"/>
              </w:rPr>
            </w:pPr>
            <w:r>
              <w:rPr>
                <w:rFonts w:cs="Calibri" w:asciiTheme="minorEastAsia" w:hAnsiTheme="minorEastAsia"/>
                <w:kern w:val="0"/>
                <w:sz w:val="22"/>
              </w:rPr>
              <w:t>1.</w:t>
            </w:r>
            <w:r>
              <w:rPr>
                <w:rFonts w:hint="eastAsia" w:cs="Calibri" w:asciiTheme="minorEastAsia" w:hAnsiTheme="minorEastAsia"/>
                <w:kern w:val="0"/>
                <w:sz w:val="22"/>
              </w:rPr>
              <w:t>9</w:t>
            </w:r>
            <w:r>
              <w:rPr>
                <w:rFonts w:cs="Calibri" w:asciiTheme="minorEastAsia" w:hAnsiTheme="minorEastAsia"/>
                <w:kern w:val="0"/>
                <w:sz w:val="22"/>
              </w:rPr>
              <w:t>.1</w:t>
            </w:r>
          </w:p>
        </w:tc>
        <w:tc>
          <w:tcPr>
            <w:tcW w:w="2004" w:type="dxa"/>
            <w:vAlign w:val="center"/>
          </w:tcPr>
          <w:p>
            <w:pPr>
              <w:autoSpaceDE w:val="0"/>
              <w:autoSpaceDN w:val="0"/>
              <w:adjustRightInd w:val="0"/>
              <w:snapToGrid w:val="0"/>
              <w:jc w:val="center"/>
              <w:rPr>
                <w:rFonts w:cs="Calibri" w:asciiTheme="minorEastAsia" w:hAnsiTheme="minorEastAsia"/>
                <w:kern w:val="0"/>
                <w:sz w:val="22"/>
              </w:rPr>
            </w:pPr>
            <w:r>
              <w:rPr>
                <w:rFonts w:cs="Calibri" w:asciiTheme="minorEastAsia" w:hAnsiTheme="minorEastAsia"/>
                <w:kern w:val="0"/>
                <w:sz w:val="22"/>
              </w:rPr>
              <w:t>踏勘现场</w:t>
            </w:r>
          </w:p>
        </w:tc>
        <w:tc>
          <w:tcPr>
            <w:tcW w:w="6487" w:type="dxa"/>
            <w:vAlign w:val="center"/>
          </w:tcPr>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□不组织</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sym w:font="Wingdings" w:char="F0FE"/>
            </w:r>
            <w:r>
              <w:rPr>
                <w:rFonts w:cs="Calibri" w:asciiTheme="minorEastAsia" w:hAnsiTheme="minorEastAsia"/>
                <w:kern w:val="0"/>
                <w:sz w:val="22"/>
              </w:rPr>
              <w:t>组织，踏勘时间：</w:t>
            </w:r>
            <w:r>
              <w:rPr>
                <w:rFonts w:hint="eastAsia" w:cs="Calibri" w:asciiTheme="minorEastAsia" w:hAnsiTheme="minorEastAsia"/>
                <w:kern w:val="0"/>
                <w:sz w:val="22"/>
              </w:rPr>
              <w:t>2019年11月28日  上午</w:t>
            </w:r>
            <w:r>
              <w:rPr>
                <w:rFonts w:cs="Calibri" w:asciiTheme="minorEastAsia" w:hAnsiTheme="minorEastAsia"/>
                <w:kern w:val="0"/>
                <w:sz w:val="22"/>
              </w:rPr>
              <w:t>9</w:t>
            </w:r>
            <w:r>
              <w:rPr>
                <w:rFonts w:hint="eastAsia" w:cs="Calibri" w:asciiTheme="minorEastAsia" w:hAnsiTheme="minorEastAsia"/>
                <w:kern w:val="0"/>
                <w:sz w:val="22"/>
              </w:rPr>
              <w:t>:30点</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踏勘集中地点：</w:t>
            </w:r>
            <w:r>
              <w:rPr>
                <w:rFonts w:hint="eastAsia" w:cs="Calibri" w:asciiTheme="minorEastAsia" w:hAnsiTheme="minorEastAsia"/>
                <w:kern w:val="0"/>
                <w:sz w:val="22"/>
              </w:rPr>
              <w:t>杭州萧山机场内药品仓储基地</w:t>
            </w:r>
            <w:r>
              <w:rPr>
                <w:rFonts w:cs="Calibri" w:asciiTheme="minorEastAsia" w:hAnsiTheme="minorEastAsia"/>
                <w:kern w:val="0"/>
                <w:sz w:val="22"/>
              </w:rPr>
              <w:t xml:space="preserve"> </w:t>
            </w:r>
          </w:p>
          <w:p>
            <w:pPr>
              <w:rPr>
                <w:rFonts w:ascii="宋体" w:hAnsi="宋体" w:cs="宋体"/>
                <w:sz w:val="22"/>
              </w:rPr>
            </w:pPr>
            <w:r>
              <w:rPr>
                <w:rFonts w:hint="eastAsia" w:ascii="宋体" w:hAnsi="宋体" w:cs="宋体"/>
                <w:sz w:val="22"/>
              </w:rPr>
              <w:t>联系人：王建坤       0571-</w:t>
            </w:r>
            <w:r>
              <w:rPr>
                <w:rFonts w:ascii="宋体" w:hAnsi="宋体" w:cs="宋体"/>
                <w:sz w:val="22"/>
              </w:rPr>
              <w:t>8</w:t>
            </w:r>
            <w:r>
              <w:rPr>
                <w:rFonts w:hint="eastAsia" w:ascii="宋体" w:hAnsi="宋体" w:cs="宋体"/>
                <w:sz w:val="22"/>
              </w:rPr>
              <w:t>6665003</w:t>
            </w:r>
          </w:p>
          <w:p>
            <w:pPr>
              <w:autoSpaceDE w:val="0"/>
              <w:autoSpaceDN w:val="0"/>
              <w:adjustRightInd w:val="0"/>
              <w:snapToGrid w:val="0"/>
              <w:rPr>
                <w:rFonts w:cs="Calibri" w:asciiTheme="minorEastAsia" w:hAnsiTheme="minorEastAsia"/>
                <w:kern w:val="0"/>
                <w:sz w:val="22"/>
              </w:rPr>
            </w:pPr>
            <w:r>
              <w:rPr>
                <w:rFonts w:hint="eastAsia" w:ascii="宋体" w:hAnsi="宋体" w:cs="Arial"/>
                <w:sz w:val="22"/>
              </w:rPr>
              <w:t>（</w:t>
            </w:r>
            <w:r>
              <w:rPr>
                <w:rFonts w:hint="eastAsia" w:ascii="宋体" w:hAnsi="宋体" w:cs="Arial"/>
                <w:b/>
                <w:sz w:val="22"/>
              </w:rPr>
              <w:t>由于未参加现场踏勘引起的报价失误等责任由投标人自负</w:t>
            </w:r>
            <w:r>
              <w:rPr>
                <w:rFonts w:hint="eastAsia" w:ascii="宋体" w:hAnsi="宋体" w:cs="Arial"/>
                <w:sz w:val="22"/>
              </w:rPr>
              <w:t>）</w:t>
            </w:r>
            <w:r>
              <w:rPr>
                <w:rFonts w:cs="Calibri" w:asciiTheme="minorEastAsia" w:hAnsiTheme="minorEastAsia"/>
                <w:kern w:val="0"/>
                <w:sz w:val="22"/>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cs="Calibri" w:asciiTheme="minorEastAsia" w:hAnsiTheme="minorEastAsia"/>
                <w:kern w:val="0"/>
                <w:sz w:val="22"/>
              </w:rPr>
            </w:pPr>
            <w:r>
              <w:rPr>
                <w:rFonts w:cs="Calibri" w:asciiTheme="minorEastAsia" w:hAnsiTheme="minorEastAsia"/>
                <w:kern w:val="0"/>
                <w:sz w:val="22"/>
              </w:rPr>
              <w:t>1.</w:t>
            </w:r>
            <w:r>
              <w:rPr>
                <w:rFonts w:hint="eastAsia" w:cs="Calibri" w:asciiTheme="minorEastAsia" w:hAnsiTheme="minorEastAsia"/>
                <w:kern w:val="0"/>
                <w:sz w:val="22"/>
              </w:rPr>
              <w:t>10</w:t>
            </w:r>
          </w:p>
        </w:tc>
        <w:tc>
          <w:tcPr>
            <w:tcW w:w="2004" w:type="dxa"/>
            <w:vAlign w:val="center"/>
          </w:tcPr>
          <w:p>
            <w:pPr>
              <w:autoSpaceDE w:val="0"/>
              <w:autoSpaceDN w:val="0"/>
              <w:adjustRightInd w:val="0"/>
              <w:snapToGrid w:val="0"/>
              <w:jc w:val="center"/>
              <w:rPr>
                <w:rFonts w:cs="Calibri" w:asciiTheme="minorEastAsia" w:hAnsiTheme="minorEastAsia"/>
                <w:kern w:val="0"/>
                <w:sz w:val="22"/>
              </w:rPr>
            </w:pPr>
            <w:r>
              <w:rPr>
                <w:rFonts w:cs="Calibri" w:asciiTheme="minorEastAsia" w:hAnsiTheme="minorEastAsia"/>
                <w:kern w:val="0"/>
                <w:sz w:val="22"/>
              </w:rPr>
              <w:t>投标预备会</w:t>
            </w:r>
          </w:p>
        </w:tc>
        <w:tc>
          <w:tcPr>
            <w:tcW w:w="6487" w:type="dxa"/>
            <w:vAlign w:val="center"/>
          </w:tcPr>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sym w:font="Wingdings" w:char="F0FE"/>
            </w:r>
            <w:r>
              <w:rPr>
                <w:rFonts w:cs="Calibri" w:asciiTheme="minorEastAsia" w:hAnsiTheme="minorEastAsia"/>
                <w:kern w:val="0"/>
                <w:sz w:val="22"/>
              </w:rPr>
              <w:t>不召开</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□召开，召开时间：</w:t>
            </w:r>
            <w:r>
              <w:rPr>
                <w:rFonts w:hint="eastAsia" w:cs="Calibri" w:asciiTheme="minorEastAsia" w:hAnsiTheme="minorEastAsia"/>
                <w:kern w:val="0"/>
                <w:sz w:val="22"/>
              </w:rPr>
              <w:t xml:space="preserve">  年 月  日 上午 </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召开地点：</w:t>
            </w:r>
          </w:p>
          <w:p>
            <w:pPr>
              <w:autoSpaceDE w:val="0"/>
              <w:autoSpaceDN w:val="0"/>
              <w:adjustRightInd w:val="0"/>
              <w:snapToGrid w:val="0"/>
              <w:rPr>
                <w:rFonts w:cs="Calibri" w:asciiTheme="minorEastAsia" w:hAnsiTheme="minorEastAsia"/>
                <w:kern w:val="0"/>
                <w:sz w:val="22"/>
              </w:rPr>
            </w:pPr>
            <w:r>
              <w:rPr>
                <w:rFonts w:hint="eastAsia" w:cs="Calibri" w:asciiTheme="minorEastAsia" w:hAnsiTheme="minorEastAsia"/>
                <w:kern w:val="0"/>
                <w:sz w:val="22"/>
              </w:rPr>
              <w:t>要求：意向投标者必须参加</w:t>
            </w:r>
          </w:p>
          <w:p>
            <w:pPr>
              <w:autoSpaceDE w:val="0"/>
              <w:autoSpaceDN w:val="0"/>
              <w:adjustRightInd w:val="0"/>
              <w:snapToGrid w:val="0"/>
              <w:rPr>
                <w:rFonts w:cs="Calibri" w:asciiTheme="minorEastAsia" w:hAnsiTheme="minorEastAsia"/>
                <w:kern w:val="0"/>
                <w:sz w:val="22"/>
              </w:rPr>
            </w:pPr>
            <w:r>
              <w:rPr>
                <w:rFonts w:hint="eastAsia" w:ascii="宋体" w:hAnsi="宋体" w:cs="Arial"/>
                <w:sz w:val="22"/>
              </w:rPr>
              <w:t>（</w:t>
            </w:r>
            <w:r>
              <w:rPr>
                <w:rFonts w:hint="eastAsia" w:ascii="宋体" w:hAnsi="宋体" w:cs="Arial"/>
                <w:b/>
                <w:sz w:val="22"/>
              </w:rPr>
              <w:t>由于未参加投标预备会引起的报价失误等责任由投标人自负</w:t>
            </w:r>
            <w:r>
              <w:rPr>
                <w:rFonts w:hint="eastAsia" w:ascii="宋体" w:hAnsi="宋体" w:cs="Arial"/>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2.2.1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投标人提出问题的截止时间</w:t>
            </w:r>
          </w:p>
        </w:tc>
        <w:tc>
          <w:tcPr>
            <w:tcW w:w="6487" w:type="dxa"/>
            <w:vAlign w:val="center"/>
          </w:tcPr>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201</w:t>
            </w:r>
            <w:r>
              <w:rPr>
                <w:rFonts w:hint="eastAsia" w:cs="Calibri" w:asciiTheme="minorEastAsia" w:hAnsiTheme="minorEastAsia"/>
                <w:kern w:val="0"/>
                <w:sz w:val="22"/>
              </w:rPr>
              <w:t>9</w:t>
            </w:r>
            <w:r>
              <w:rPr>
                <w:rFonts w:cs="Calibri" w:asciiTheme="minorEastAsia" w:hAnsiTheme="minorEastAsia"/>
                <w:kern w:val="0"/>
                <w:sz w:val="22"/>
              </w:rPr>
              <w:t>年</w:t>
            </w:r>
            <w:r>
              <w:rPr>
                <w:rFonts w:hint="eastAsia" w:cs="Calibri" w:asciiTheme="minorEastAsia" w:hAnsiTheme="minorEastAsia"/>
                <w:kern w:val="0"/>
                <w:sz w:val="22"/>
              </w:rPr>
              <w:t>11</w:t>
            </w:r>
            <w:r>
              <w:rPr>
                <w:rFonts w:cs="Calibri" w:asciiTheme="minorEastAsia" w:hAnsiTheme="minorEastAsia"/>
                <w:kern w:val="0"/>
                <w:sz w:val="22"/>
              </w:rPr>
              <w:t>月</w:t>
            </w:r>
            <w:r>
              <w:rPr>
                <w:rFonts w:hint="eastAsia" w:cs="Calibri" w:asciiTheme="minorEastAsia" w:hAnsiTheme="minorEastAsia"/>
                <w:kern w:val="0"/>
                <w:sz w:val="22"/>
              </w:rPr>
              <w:t>29</w:t>
            </w:r>
            <w:r>
              <w:rPr>
                <w:rFonts w:cs="Calibri" w:asciiTheme="minorEastAsia" w:hAnsiTheme="minorEastAsia"/>
                <w:kern w:val="0"/>
                <w:sz w:val="22"/>
              </w:rPr>
              <w:t>日16：30前，以E-mail及书面（传真）形式提交给招标</w:t>
            </w:r>
            <w:r>
              <w:rPr>
                <w:rFonts w:hint="eastAsia" w:cs="Calibri" w:asciiTheme="minorEastAsia" w:hAnsiTheme="minorEastAsia"/>
                <w:kern w:val="0"/>
                <w:sz w:val="22"/>
              </w:rPr>
              <w:t>人</w:t>
            </w:r>
            <w:r>
              <w:rPr>
                <w:rFonts w:cs="Calibri" w:asciiTheme="minorEastAsia" w:hAnsiTheme="minorEastAsia"/>
                <w:kern w:val="0"/>
                <w:sz w:val="22"/>
              </w:rPr>
              <w:t>（邮箱：317716755</w:t>
            </w:r>
            <w:r>
              <w:rPr>
                <w:rFonts w:hint="eastAsia" w:cs="Calibri" w:asciiTheme="minorEastAsia" w:hAnsiTheme="minorEastAsia"/>
                <w:kern w:val="0"/>
                <w:sz w:val="22"/>
              </w:rPr>
              <w:t>@qq.com</w:t>
            </w:r>
            <w:r>
              <w:rPr>
                <w:rFonts w:cs="Calibri" w:asciiTheme="minorEastAsia" w:hAnsiTheme="minorEastAsia"/>
                <w:kern w:val="0"/>
                <w:sz w:val="22"/>
              </w:rPr>
              <w:t>，联系人：</w:t>
            </w:r>
            <w:r>
              <w:rPr>
                <w:rFonts w:hint="eastAsia" w:cs="Calibri" w:asciiTheme="minorEastAsia" w:hAnsiTheme="minorEastAsia"/>
                <w:kern w:val="0"/>
                <w:sz w:val="22"/>
              </w:rPr>
              <w:t>王建坤</w:t>
            </w:r>
            <w:r>
              <w:rPr>
                <w:rFonts w:cs="Calibri" w:asciiTheme="minorEastAsia" w:hAnsiTheme="minorEastAsia"/>
                <w:kern w:val="0"/>
                <w:sz w:val="22"/>
              </w:rPr>
              <w:t>）投标人必须在规定时间前提出对招标文件的疑问，否则招标人有权拒绝接收和拒绝回答未在截止时间前提出的疑问。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2.2.2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投标截止时间</w:t>
            </w:r>
          </w:p>
        </w:tc>
        <w:tc>
          <w:tcPr>
            <w:tcW w:w="6487" w:type="dxa"/>
            <w:vAlign w:val="center"/>
          </w:tcPr>
          <w:p>
            <w:pPr>
              <w:autoSpaceDE w:val="0"/>
              <w:autoSpaceDN w:val="0"/>
              <w:adjustRightInd w:val="0"/>
              <w:snapToGrid w:val="0"/>
              <w:rPr>
                <w:rFonts w:cs="Calibri" w:asciiTheme="minorEastAsia" w:hAnsiTheme="minorEastAsia"/>
                <w:b/>
                <w:kern w:val="0"/>
                <w:sz w:val="22"/>
              </w:rPr>
            </w:pPr>
            <w:r>
              <w:rPr>
                <w:rFonts w:hint="eastAsia" w:cs="Arial" w:asciiTheme="minorEastAsia" w:hAnsiTheme="minorEastAsia"/>
                <w:kern w:val="0"/>
                <w:sz w:val="22"/>
              </w:rPr>
              <w:t>2019年12月</w:t>
            </w:r>
            <w:r>
              <w:rPr>
                <w:rFonts w:hint="eastAsia" w:cs="Arial" w:asciiTheme="minorEastAsia" w:hAnsiTheme="minorEastAsia"/>
                <w:kern w:val="0"/>
                <w:sz w:val="22"/>
                <w:lang w:val="en-US" w:eastAsia="zh-CN"/>
              </w:rPr>
              <w:t>6</w:t>
            </w:r>
            <w:r>
              <w:rPr>
                <w:rFonts w:hint="eastAsia" w:cs="Arial" w:asciiTheme="minorEastAsia" w:hAnsiTheme="minorEastAsia"/>
                <w:kern w:val="0"/>
                <w:sz w:val="22"/>
              </w:rPr>
              <w:t>日上午9时00分（北京时间）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2.2.3</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投标人确认收到招标文件澄清的时间</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招标人可主动地或在解答投标人提出的澄清问题时对招标文件进行修改，</w:t>
            </w:r>
            <w:bookmarkStart w:id="3" w:name="_Toc236586447"/>
            <w:bookmarkStart w:id="4" w:name="_Toc226175287"/>
            <w:r>
              <w:rPr>
                <w:rFonts w:hint="eastAsia" w:ascii="宋体" w:hAnsi="宋体" w:cs="Calibri"/>
                <w:kern w:val="0"/>
                <w:sz w:val="22"/>
              </w:rPr>
              <w:t>对招标文件的修改将以补充公告的形式发布，所有获得招标文件的投标人应自行关注网站公告，招标人不再一一通知。投标人因自身贻误行为导致投标失败的，责任自负。</w:t>
            </w:r>
            <w:bookmarkEnd w:id="3"/>
            <w:bookmarkEnd w:id="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2.3.2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投标人确认收到招标文件修改的时间</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招标人可主动地或在解答投标人提出的澄清问题时对招标文件进行修改，对招标文件的修改将以补充公告的形式发布，所有获得招标文件的投标人应自行关注网站公告，招标人不再一一通知。投标人因自身贻误行为导致投标失败的，责任自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3.4.1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投标有效期</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120日历天</w:t>
            </w:r>
            <w:r>
              <w:rPr>
                <w:rFonts w:ascii="宋体" w:hAnsi="宋体" w:cs="Calibri"/>
                <w:kern w:val="0"/>
                <w:sz w:val="22"/>
              </w:rPr>
              <w:t>（从投标截止之日算起）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3.5.1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投标保证金</w:t>
            </w:r>
          </w:p>
        </w:tc>
        <w:tc>
          <w:tcPr>
            <w:tcW w:w="6487" w:type="dxa"/>
            <w:vAlign w:val="center"/>
          </w:tcPr>
          <w:p>
            <w:pPr>
              <w:snapToGrid w:val="0"/>
              <w:rPr>
                <w:rFonts w:ascii="宋体" w:hAnsi="宋体"/>
                <w:sz w:val="22"/>
              </w:rPr>
            </w:pPr>
            <w:r>
              <w:rPr>
                <w:rFonts w:ascii="宋体" w:hAnsi="宋体"/>
                <w:sz w:val="22"/>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3.6.3</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签字或盖章要求</w:t>
            </w:r>
          </w:p>
        </w:tc>
        <w:tc>
          <w:tcPr>
            <w:tcW w:w="6487" w:type="dxa"/>
            <w:vAlign w:val="center"/>
          </w:tcPr>
          <w:p>
            <w:pPr>
              <w:autoSpaceDE w:val="0"/>
              <w:autoSpaceDN w:val="0"/>
              <w:adjustRightInd w:val="0"/>
              <w:snapToGrid w:val="0"/>
              <w:rPr>
                <w:rFonts w:cs="Calibri" w:asciiTheme="minorEastAsia" w:hAnsiTheme="minorEastAsia"/>
                <w:kern w:val="0"/>
                <w:sz w:val="22"/>
              </w:rPr>
            </w:pPr>
            <w:r>
              <w:rPr>
                <w:rFonts w:cs="Calibri" w:asciiTheme="minorEastAsia" w:hAnsiTheme="minorEastAsia"/>
                <w:b/>
                <w:kern w:val="0"/>
                <w:sz w:val="22"/>
              </w:rPr>
              <w:t>投标文件封面（或扉页）、投标函以及各类报价表</w:t>
            </w:r>
            <w:r>
              <w:rPr>
                <w:rFonts w:cs="Calibri" w:asciiTheme="minorEastAsia" w:hAnsiTheme="minorEastAsia"/>
                <w:kern w:val="0"/>
                <w:sz w:val="22"/>
              </w:rPr>
              <w:t>均须加盖投标人单位章，并经法定代表人（或其委托代理人）签字或盖章。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3.6.4</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投标文件份数</w:t>
            </w:r>
          </w:p>
        </w:tc>
        <w:tc>
          <w:tcPr>
            <w:tcW w:w="6487" w:type="dxa"/>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正本一份，</w:t>
            </w:r>
            <w:r>
              <w:rPr>
                <w:rFonts w:ascii="宋体" w:hAnsi="宋体" w:cs="Calibri"/>
                <w:kern w:val="0"/>
                <w:sz w:val="22"/>
              </w:rPr>
              <w:t>副本</w:t>
            </w:r>
            <w:r>
              <w:rPr>
                <w:rFonts w:hint="eastAsia" w:ascii="宋体" w:hAnsi="宋体" w:cs="Calibri"/>
                <w:kern w:val="0"/>
                <w:sz w:val="22"/>
              </w:rPr>
              <w:t>二</w:t>
            </w:r>
            <w:r>
              <w:rPr>
                <w:rFonts w:ascii="宋体" w:hAnsi="宋体" w:cs="Calibri"/>
                <w:kern w:val="0"/>
                <w:sz w:val="22"/>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3.6.5</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装订要求</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按照投标人须知3.2项约定的投标文件组成内容，投标文件应按以下要求装订：</w:t>
            </w:r>
          </w:p>
          <w:p>
            <w:pPr>
              <w:autoSpaceDE w:val="0"/>
              <w:autoSpaceDN w:val="0"/>
              <w:adjustRightInd w:val="0"/>
              <w:snapToGrid w:val="0"/>
              <w:rPr>
                <w:rFonts w:ascii="宋体" w:hAnsi="宋体" w:cs="Calibri"/>
                <w:kern w:val="0"/>
                <w:sz w:val="22"/>
              </w:rPr>
            </w:pPr>
            <w:r>
              <w:rPr>
                <w:rFonts w:ascii="宋体" w:hAnsi="宋体" w:cs="Calibri"/>
                <w:kern w:val="0"/>
                <w:sz w:val="22"/>
              </w:rPr>
              <w:sym w:font="Wingdings" w:char="F0FE"/>
            </w:r>
            <w:r>
              <w:rPr>
                <w:rFonts w:ascii="宋体" w:hAnsi="宋体" w:cs="Calibri"/>
                <w:kern w:val="0"/>
                <w:sz w:val="22"/>
              </w:rPr>
              <w:t>不分册装订</w:t>
            </w:r>
          </w:p>
          <w:p>
            <w:pPr>
              <w:autoSpaceDE w:val="0"/>
              <w:autoSpaceDN w:val="0"/>
              <w:adjustRightInd w:val="0"/>
              <w:snapToGrid w:val="0"/>
              <w:rPr>
                <w:rFonts w:ascii="宋体" w:hAnsi="宋体" w:cs="Calibri"/>
                <w:kern w:val="0"/>
                <w:sz w:val="22"/>
              </w:rPr>
            </w:pPr>
            <w:r>
              <w:rPr>
                <w:rFonts w:ascii="宋体" w:hAnsi="宋体" w:cs="Calibri"/>
                <w:kern w:val="0"/>
                <w:sz w:val="22"/>
              </w:rPr>
              <w:t>□分册装订</w:t>
            </w:r>
          </w:p>
          <w:p>
            <w:pPr>
              <w:autoSpaceDE w:val="0"/>
              <w:autoSpaceDN w:val="0"/>
              <w:adjustRightInd w:val="0"/>
              <w:snapToGrid w:val="0"/>
              <w:rPr>
                <w:rFonts w:ascii="宋体" w:hAnsi="宋体" w:cs="Calibri"/>
                <w:kern w:val="0"/>
                <w:sz w:val="22"/>
              </w:rPr>
            </w:pPr>
            <w:r>
              <w:rPr>
                <w:rFonts w:ascii="宋体" w:hAnsi="宋体" w:cs="Calibri"/>
                <w:kern w:val="0"/>
                <w:sz w:val="22"/>
              </w:rPr>
              <w:t>每册采用</w:t>
            </w:r>
            <w:r>
              <w:rPr>
                <w:rFonts w:ascii="宋体" w:hAnsi="宋体" w:cs="Calibri"/>
                <w:kern w:val="0"/>
                <w:sz w:val="22"/>
                <w:u w:val="single"/>
              </w:rPr>
              <w:t xml:space="preserve"> 胶装</w:t>
            </w:r>
            <w:r>
              <w:rPr>
                <w:rFonts w:hint="eastAsia" w:ascii="宋体" w:hAnsi="宋体" w:cs="Calibri"/>
                <w:kern w:val="0"/>
                <w:sz w:val="22"/>
                <w:u w:val="single"/>
              </w:rPr>
              <w:t>等</w:t>
            </w:r>
            <w:r>
              <w:rPr>
                <w:rFonts w:ascii="宋体" w:hAnsi="宋体" w:cs="Calibri"/>
                <w:kern w:val="0"/>
                <w:sz w:val="22"/>
              </w:rPr>
              <w:t>方式装订，装订应牢固、不易拆散和换页，不得采用活页装订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4.1.2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封套上写明</w:t>
            </w:r>
          </w:p>
        </w:tc>
        <w:tc>
          <w:tcPr>
            <w:tcW w:w="6487" w:type="dxa"/>
            <w:vAlign w:val="center"/>
          </w:tcPr>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招标人的地址：</w:t>
            </w:r>
            <w:r>
              <w:rPr>
                <w:rFonts w:hint="eastAsia" w:asciiTheme="minorEastAsia" w:hAnsiTheme="minorEastAsia"/>
                <w:sz w:val="22"/>
                <w:u w:val="single"/>
              </w:rPr>
              <w:t>杭州萧山国际机场内</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招标人名称：</w:t>
            </w:r>
            <w:r>
              <w:rPr>
                <w:rFonts w:hint="eastAsia" w:cs="Calibri" w:asciiTheme="minorEastAsia" w:hAnsiTheme="minorEastAsia"/>
                <w:kern w:val="0"/>
                <w:sz w:val="22"/>
                <w:u w:val="single"/>
              </w:rPr>
              <w:t>浙江航空开发有限责任公司</w:t>
            </w:r>
          </w:p>
          <w:p>
            <w:pPr>
              <w:autoSpaceDE w:val="0"/>
              <w:autoSpaceDN w:val="0"/>
              <w:adjustRightInd w:val="0"/>
              <w:snapToGrid w:val="0"/>
              <w:rPr>
                <w:rFonts w:cs="Calibri" w:asciiTheme="minorEastAsia" w:hAnsiTheme="minorEastAsia"/>
                <w:kern w:val="0"/>
                <w:sz w:val="22"/>
              </w:rPr>
            </w:pPr>
            <w:r>
              <w:rPr>
                <w:rFonts w:hint="eastAsia" w:cs="宋体" w:asciiTheme="minorEastAsia" w:hAnsiTheme="minorEastAsia"/>
                <w:sz w:val="22"/>
              </w:rPr>
              <w:t>项目名称：</w:t>
            </w:r>
            <w:r>
              <w:rPr>
                <w:rFonts w:hint="eastAsia" w:asciiTheme="minorEastAsia" w:hAnsiTheme="minorEastAsia"/>
                <w:bCs/>
                <w:sz w:val="22"/>
                <w:u w:val="single"/>
              </w:rPr>
              <w:t>药品仓储基地3#库屋面维修项目</w:t>
            </w:r>
            <w:r>
              <w:rPr>
                <w:rFonts w:hint="eastAsia" w:cs="宋体" w:asciiTheme="minorEastAsia" w:hAnsiTheme="minorEastAsia"/>
                <w:sz w:val="22"/>
              </w:rPr>
              <w:t>投标文件</w:t>
            </w:r>
          </w:p>
          <w:p>
            <w:pPr>
              <w:autoSpaceDE w:val="0"/>
              <w:autoSpaceDN w:val="0"/>
              <w:adjustRightInd w:val="0"/>
              <w:snapToGrid w:val="0"/>
              <w:rPr>
                <w:rFonts w:cs="Calibri" w:asciiTheme="minorEastAsia" w:hAnsiTheme="minorEastAsia"/>
                <w:kern w:val="0"/>
                <w:sz w:val="22"/>
              </w:rPr>
            </w:pPr>
            <w:r>
              <w:rPr>
                <w:rFonts w:cs="Calibri" w:asciiTheme="minorEastAsia" w:hAnsiTheme="minorEastAsia"/>
                <w:kern w:val="0"/>
                <w:sz w:val="22"/>
              </w:rPr>
              <w:t>在</w:t>
            </w:r>
            <w:r>
              <w:rPr>
                <w:rFonts w:cs="Calibri" w:asciiTheme="minorEastAsia" w:hAnsiTheme="minorEastAsia"/>
                <w:kern w:val="0"/>
                <w:sz w:val="22"/>
                <w:u w:val="single"/>
              </w:rPr>
              <w:t xml:space="preserve">     </w:t>
            </w:r>
            <w:r>
              <w:rPr>
                <w:rFonts w:cs="Calibri" w:asciiTheme="minorEastAsia" w:hAnsiTheme="minorEastAsia"/>
                <w:kern w:val="0"/>
                <w:sz w:val="22"/>
              </w:rPr>
              <w:t>年</w:t>
            </w:r>
            <w:r>
              <w:rPr>
                <w:rFonts w:cs="Calibri" w:asciiTheme="minorEastAsia" w:hAnsiTheme="minorEastAsia"/>
                <w:kern w:val="0"/>
                <w:sz w:val="22"/>
                <w:u w:val="single"/>
              </w:rPr>
              <w:t xml:space="preserve">  </w:t>
            </w:r>
            <w:r>
              <w:rPr>
                <w:rFonts w:cs="Calibri" w:asciiTheme="minorEastAsia" w:hAnsiTheme="minorEastAsia"/>
                <w:kern w:val="0"/>
                <w:sz w:val="22"/>
              </w:rPr>
              <w:t>月</w:t>
            </w:r>
            <w:r>
              <w:rPr>
                <w:rFonts w:cs="Calibri" w:asciiTheme="minorEastAsia" w:hAnsiTheme="minorEastAsia"/>
                <w:kern w:val="0"/>
                <w:sz w:val="22"/>
                <w:u w:val="single"/>
              </w:rPr>
              <w:t xml:space="preserve">  </w:t>
            </w:r>
            <w:r>
              <w:rPr>
                <w:rFonts w:cs="Calibri" w:asciiTheme="minorEastAsia" w:hAnsiTheme="minorEastAsia"/>
                <w:kern w:val="0"/>
                <w:sz w:val="22"/>
              </w:rPr>
              <w:t>日</w:t>
            </w:r>
            <w:r>
              <w:rPr>
                <w:rFonts w:cs="Calibri" w:asciiTheme="minorEastAsia" w:hAnsiTheme="minorEastAsia"/>
                <w:kern w:val="0"/>
                <w:sz w:val="22"/>
                <w:u w:val="single"/>
              </w:rPr>
              <w:t xml:space="preserve">  </w:t>
            </w:r>
            <w:r>
              <w:rPr>
                <w:rFonts w:cs="Calibri" w:asciiTheme="minorEastAsia" w:hAnsiTheme="minorEastAsia"/>
                <w:kern w:val="0"/>
                <w:sz w:val="22"/>
              </w:rPr>
              <w:t>时</w:t>
            </w:r>
            <w:r>
              <w:rPr>
                <w:rFonts w:cs="Calibri" w:asciiTheme="minorEastAsia" w:hAnsiTheme="minorEastAsia"/>
                <w:kern w:val="0"/>
                <w:sz w:val="22"/>
                <w:u w:val="single"/>
              </w:rPr>
              <w:t xml:space="preserve">  </w:t>
            </w:r>
            <w:r>
              <w:rPr>
                <w:rFonts w:cs="Calibri" w:asciiTheme="minorEastAsia" w:hAnsiTheme="minorEastAsia"/>
                <w:kern w:val="0"/>
                <w:sz w:val="22"/>
              </w:rPr>
              <w:t>分（即开标时间）前不得开启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4.2.2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递交投标文件地点</w:t>
            </w:r>
          </w:p>
        </w:tc>
        <w:tc>
          <w:tcPr>
            <w:tcW w:w="6487" w:type="dxa"/>
            <w:vAlign w:val="center"/>
          </w:tcPr>
          <w:p>
            <w:pPr>
              <w:autoSpaceDE w:val="0"/>
              <w:autoSpaceDN w:val="0"/>
              <w:adjustRightInd w:val="0"/>
              <w:snapToGrid w:val="0"/>
              <w:rPr>
                <w:rFonts w:cs="Calibri" w:asciiTheme="minorEastAsia" w:hAnsiTheme="minorEastAsia"/>
                <w:kern w:val="0"/>
                <w:sz w:val="22"/>
              </w:rPr>
            </w:pPr>
            <w:r>
              <w:rPr>
                <w:rFonts w:hint="eastAsia" w:asciiTheme="minorEastAsia" w:hAnsiTheme="minorEastAsia"/>
                <w:b/>
                <w:sz w:val="22"/>
              </w:rPr>
              <w:t>杭州萧山国际机场航空货站A区A1223室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4.2.3</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是否退还投标文件</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sym w:font="Wingdings" w:char="F0FE"/>
            </w:r>
            <w:r>
              <w:rPr>
                <w:rFonts w:ascii="宋体" w:hAnsi="宋体" w:cs="Calibri"/>
                <w:kern w:val="0"/>
                <w:sz w:val="22"/>
              </w:rPr>
              <w:t>否</w:t>
            </w:r>
          </w:p>
          <w:p>
            <w:pPr>
              <w:autoSpaceDE w:val="0"/>
              <w:autoSpaceDN w:val="0"/>
              <w:adjustRightInd w:val="0"/>
              <w:snapToGrid w:val="0"/>
              <w:rPr>
                <w:rFonts w:ascii="宋体" w:hAnsi="宋体" w:cs="Calibri"/>
                <w:kern w:val="0"/>
                <w:sz w:val="22"/>
              </w:rPr>
            </w:pPr>
            <w:r>
              <w:rPr>
                <w:rFonts w:ascii="宋体" w:hAnsi="宋体" w:cs="Calibri"/>
                <w:kern w:val="0"/>
                <w:sz w:val="22"/>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5.1.1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开标时间和地点</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开标时间：同投标截止时间</w:t>
            </w:r>
          </w:p>
          <w:p>
            <w:pPr>
              <w:autoSpaceDE w:val="0"/>
              <w:autoSpaceDN w:val="0"/>
              <w:adjustRightInd w:val="0"/>
              <w:snapToGrid w:val="0"/>
              <w:rPr>
                <w:rFonts w:ascii="宋体" w:hAnsi="宋体" w:cs="Calibri"/>
                <w:kern w:val="0"/>
                <w:sz w:val="22"/>
              </w:rPr>
            </w:pPr>
            <w:r>
              <w:rPr>
                <w:rFonts w:ascii="宋体" w:hAnsi="宋体" w:cs="Calibri"/>
                <w:kern w:val="0"/>
                <w:sz w:val="22"/>
              </w:rPr>
              <w:t>开标地点：同递交投标文件地点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5.2</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开标程序</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（1）密封情况检查：由投标人或者其集体推选的代表检查投标文件的密封情况。</w:t>
            </w:r>
          </w:p>
          <w:p>
            <w:pPr>
              <w:autoSpaceDE w:val="0"/>
              <w:autoSpaceDN w:val="0"/>
              <w:adjustRightInd w:val="0"/>
              <w:snapToGrid w:val="0"/>
              <w:rPr>
                <w:rFonts w:ascii="宋体" w:hAnsi="宋体" w:cs="Calibri"/>
                <w:kern w:val="0"/>
                <w:sz w:val="22"/>
              </w:rPr>
            </w:pPr>
            <w:r>
              <w:rPr>
                <w:rFonts w:ascii="宋体" w:hAnsi="宋体" w:cs="Calibri"/>
                <w:kern w:val="0"/>
                <w:sz w:val="22"/>
              </w:rPr>
              <w:t>（2）开标顺序：按照后送达先开的顺序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6.1.1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评标委员会的组建</w:t>
            </w:r>
          </w:p>
        </w:tc>
        <w:tc>
          <w:tcPr>
            <w:tcW w:w="6487" w:type="dxa"/>
            <w:vAlign w:val="center"/>
          </w:tcPr>
          <w:p>
            <w:pPr>
              <w:autoSpaceDE w:val="0"/>
              <w:autoSpaceDN w:val="0"/>
              <w:adjustRightInd w:val="0"/>
              <w:snapToGrid w:val="0"/>
              <w:jc w:val="left"/>
              <w:rPr>
                <w:rFonts w:asciiTheme="minorEastAsia" w:hAnsiTheme="minorEastAsia"/>
                <w:sz w:val="22"/>
              </w:rPr>
            </w:pPr>
            <w:r>
              <w:rPr>
                <w:rFonts w:hint="eastAsia" w:asciiTheme="minorEastAsia" w:hAnsiTheme="minorEastAsia"/>
                <w:sz w:val="22"/>
              </w:rPr>
              <w:t>评标委员会构成</w:t>
            </w:r>
            <w:r>
              <w:rPr>
                <w:rFonts w:hint="eastAsia" w:cs="Calibri" w:asciiTheme="minorEastAsia" w:hAnsiTheme="minorEastAsia"/>
                <w:kern w:val="0"/>
                <w:sz w:val="22"/>
              </w:rPr>
              <w:t>：3</w:t>
            </w:r>
            <w:r>
              <w:rPr>
                <w:rFonts w:hint="eastAsia" w:asciiTheme="minorEastAsia" w:hAnsiTheme="minorEastAsia"/>
                <w:sz w:val="22"/>
              </w:rPr>
              <w:t>人及以上单数</w:t>
            </w:r>
          </w:p>
          <w:p>
            <w:pPr>
              <w:autoSpaceDE w:val="0"/>
              <w:autoSpaceDN w:val="0"/>
              <w:adjustRightInd w:val="0"/>
              <w:snapToGrid w:val="0"/>
              <w:jc w:val="left"/>
              <w:rPr>
                <w:rFonts w:asciiTheme="minorEastAsia" w:hAnsiTheme="minorEastAsia"/>
                <w:sz w:val="22"/>
              </w:rPr>
            </w:pPr>
            <w:r>
              <w:rPr>
                <w:rFonts w:hint="eastAsia" w:asciiTheme="minorEastAsia" w:hAnsiTheme="minorEastAsia"/>
                <w:sz w:val="22"/>
              </w:rPr>
              <w:t>评标专家确定方式：评标委员会成员招标人自行组建。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7.1</w:t>
            </w:r>
          </w:p>
        </w:tc>
        <w:tc>
          <w:tcPr>
            <w:tcW w:w="2004"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是否授权评标委员会确定中标人</w:t>
            </w:r>
          </w:p>
        </w:tc>
        <w:tc>
          <w:tcPr>
            <w:tcW w:w="6487" w:type="dxa"/>
            <w:vAlign w:val="center"/>
          </w:tcPr>
          <w:p>
            <w:pPr>
              <w:autoSpaceDE w:val="0"/>
              <w:autoSpaceDN w:val="0"/>
              <w:adjustRightInd w:val="0"/>
              <w:snapToGrid w:val="0"/>
              <w:rPr>
                <w:rFonts w:ascii="宋体" w:hAnsi="宋体" w:cs="Calibri"/>
                <w:kern w:val="0"/>
                <w:sz w:val="22"/>
              </w:rPr>
            </w:pPr>
            <w:r>
              <w:rPr>
                <w:rFonts w:ascii="宋体" w:hAnsi="宋体" w:cs="Calibri"/>
                <w:kern w:val="0"/>
                <w:sz w:val="22"/>
              </w:rPr>
              <w:t>□是</w:t>
            </w:r>
          </w:p>
          <w:p>
            <w:pPr>
              <w:autoSpaceDE w:val="0"/>
              <w:autoSpaceDN w:val="0"/>
              <w:adjustRightInd w:val="0"/>
              <w:snapToGrid w:val="0"/>
              <w:rPr>
                <w:rFonts w:ascii="宋体" w:hAnsi="宋体" w:cs="Calibri"/>
                <w:kern w:val="0"/>
                <w:sz w:val="22"/>
              </w:rPr>
            </w:pPr>
            <w:r>
              <w:rPr>
                <w:rFonts w:ascii="宋体" w:hAnsi="宋体" w:cs="Calibri"/>
                <w:kern w:val="0"/>
                <w:sz w:val="22"/>
              </w:rPr>
              <w:sym w:font="Wingdings" w:char="F0FE"/>
            </w:r>
            <w:r>
              <w:rPr>
                <w:rFonts w:ascii="宋体" w:hAnsi="宋体" w:cs="Calibri"/>
                <w:kern w:val="0"/>
                <w:sz w:val="22"/>
              </w:rPr>
              <w:t>否，推荐的中标候选人数：</w:t>
            </w:r>
            <w:r>
              <w:rPr>
                <w:rFonts w:hint="eastAsia" w:ascii="宋体" w:hAnsi="宋体" w:cs="Calibri"/>
                <w:kern w:val="0"/>
                <w:sz w:val="22"/>
              </w:rPr>
              <w:t>2</w:t>
            </w:r>
            <w:r>
              <w:rPr>
                <w:rFonts w:ascii="宋体" w:hAnsi="宋体" w:cs="Calibri"/>
                <w:kern w:val="0"/>
                <w:sz w:val="22"/>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7.3.1</w:t>
            </w:r>
          </w:p>
        </w:tc>
        <w:tc>
          <w:tcPr>
            <w:tcW w:w="2004" w:type="dxa"/>
            <w:vAlign w:val="center"/>
          </w:tcPr>
          <w:p>
            <w:pPr>
              <w:autoSpaceDE w:val="0"/>
              <w:autoSpaceDN w:val="0"/>
              <w:adjustRightInd w:val="0"/>
              <w:snapToGrid w:val="0"/>
              <w:jc w:val="center"/>
              <w:rPr>
                <w:rFonts w:ascii="宋体" w:hAnsi="宋体" w:cs="Calibri"/>
                <w:kern w:val="0"/>
                <w:sz w:val="22"/>
              </w:rPr>
            </w:pPr>
            <w:r>
              <w:rPr>
                <w:rFonts w:hint="eastAsia" w:ascii="宋体" w:hAnsi="宋体" w:cs="Calibri"/>
                <w:kern w:val="0"/>
                <w:sz w:val="22"/>
              </w:rPr>
              <w:t>设计</w:t>
            </w:r>
            <w:r>
              <w:rPr>
                <w:rFonts w:ascii="宋体" w:hAnsi="宋体" w:cs="Calibri"/>
                <w:kern w:val="0"/>
                <w:sz w:val="22"/>
              </w:rPr>
              <w:t>费、履约</w:t>
            </w:r>
            <w:r>
              <w:rPr>
                <w:rFonts w:hint="eastAsia" w:ascii="宋体" w:hAnsi="宋体" w:cs="Calibri"/>
                <w:kern w:val="0"/>
                <w:sz w:val="22"/>
              </w:rPr>
              <w:t>保证金</w:t>
            </w:r>
          </w:p>
        </w:tc>
        <w:tc>
          <w:tcPr>
            <w:tcW w:w="6487" w:type="dxa"/>
            <w:vAlign w:val="center"/>
          </w:tcPr>
          <w:p>
            <w:pPr>
              <w:autoSpaceDE w:val="0"/>
              <w:autoSpaceDN w:val="0"/>
              <w:adjustRightInd w:val="0"/>
              <w:snapToGrid w:val="0"/>
              <w:jc w:val="left"/>
              <w:rPr>
                <w:rFonts w:ascii="宋体" w:hAnsi="宋体"/>
                <w:sz w:val="22"/>
              </w:rPr>
            </w:pPr>
            <w:r>
              <w:rPr>
                <w:rFonts w:ascii="宋体" w:hAnsi="宋体"/>
                <w:sz w:val="22"/>
              </w:rPr>
              <w:t>履约</w:t>
            </w:r>
            <w:r>
              <w:rPr>
                <w:rFonts w:hint="eastAsia" w:ascii="宋体" w:hAnsi="宋体"/>
                <w:sz w:val="22"/>
              </w:rPr>
              <w:t>保证金</w:t>
            </w:r>
            <w:r>
              <w:rPr>
                <w:rFonts w:ascii="宋体" w:hAnsi="宋体"/>
                <w:sz w:val="22"/>
              </w:rPr>
              <w:t>的形式：</w:t>
            </w:r>
            <w:r>
              <w:rPr>
                <w:rFonts w:hint="eastAsia" w:ascii="宋体" w:hAnsi="宋体"/>
                <w:sz w:val="22"/>
              </w:rPr>
              <w:t>支票、银行汇票或电汇</w:t>
            </w:r>
          </w:p>
          <w:p>
            <w:pPr>
              <w:autoSpaceDE w:val="0"/>
              <w:autoSpaceDN w:val="0"/>
              <w:adjustRightInd w:val="0"/>
              <w:snapToGrid w:val="0"/>
              <w:jc w:val="left"/>
              <w:rPr>
                <w:rFonts w:ascii="宋体" w:hAnsi="宋体"/>
                <w:sz w:val="22"/>
              </w:rPr>
            </w:pPr>
            <w:r>
              <w:rPr>
                <w:rFonts w:ascii="宋体" w:hAnsi="宋体"/>
                <w:sz w:val="22"/>
              </w:rPr>
              <w:t>履约</w:t>
            </w:r>
            <w:r>
              <w:rPr>
                <w:rFonts w:hint="eastAsia" w:ascii="宋体" w:hAnsi="宋体"/>
                <w:sz w:val="22"/>
              </w:rPr>
              <w:t>保证金</w:t>
            </w:r>
            <w:r>
              <w:rPr>
                <w:rFonts w:ascii="宋体" w:hAnsi="宋体"/>
                <w:sz w:val="22"/>
              </w:rPr>
              <w:t>的金额：</w:t>
            </w:r>
            <w:r>
              <w:rPr>
                <w:rFonts w:hint="eastAsia" w:ascii="宋体" w:hAnsi="宋体"/>
                <w:sz w:val="22"/>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vAlign w:val="center"/>
          </w:tcPr>
          <w:p>
            <w:pPr>
              <w:autoSpaceDE w:val="0"/>
              <w:autoSpaceDN w:val="0"/>
              <w:adjustRightInd w:val="0"/>
              <w:snapToGrid w:val="0"/>
              <w:jc w:val="center"/>
              <w:rPr>
                <w:rFonts w:ascii="宋体" w:hAnsi="宋体" w:cs="Calibri"/>
                <w:kern w:val="0"/>
                <w:sz w:val="22"/>
              </w:rPr>
            </w:pPr>
            <w:r>
              <w:rPr>
                <w:rFonts w:ascii="宋体" w:hAnsi="宋体" w:cs="Calibri"/>
                <w:kern w:val="0"/>
                <w:sz w:val="22"/>
              </w:rPr>
              <w:t>10</w:t>
            </w:r>
          </w:p>
        </w:tc>
        <w:tc>
          <w:tcPr>
            <w:tcW w:w="8491" w:type="dxa"/>
            <w:gridSpan w:val="2"/>
            <w:vAlign w:val="center"/>
          </w:tcPr>
          <w:p>
            <w:pPr>
              <w:autoSpaceDE w:val="0"/>
              <w:autoSpaceDN w:val="0"/>
              <w:adjustRightInd w:val="0"/>
              <w:snapToGrid w:val="0"/>
              <w:jc w:val="center"/>
              <w:rPr>
                <w:rFonts w:ascii="宋体" w:hAnsi="宋体" w:cs="Calibri"/>
                <w:snapToGrid w:val="0"/>
                <w:sz w:val="22"/>
              </w:rPr>
            </w:pPr>
            <w:r>
              <w:rPr>
                <w:rFonts w:ascii="宋体" w:hAnsi="宋体" w:cs="Calibri"/>
                <w:kern w:val="0"/>
                <w:sz w:val="22"/>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shd w:val="clear" w:color="auto" w:fill="auto"/>
            <w:vAlign w:val="center"/>
          </w:tcPr>
          <w:p>
            <w:pPr>
              <w:autoSpaceDE w:val="0"/>
              <w:autoSpaceDN w:val="0"/>
              <w:adjustRightInd w:val="0"/>
              <w:snapToGrid w:val="0"/>
              <w:jc w:val="center"/>
              <w:rPr>
                <w:rFonts w:ascii="宋体" w:hAnsi="宋体" w:cs="Calibri"/>
                <w:kern w:val="0"/>
                <w:sz w:val="22"/>
              </w:rPr>
            </w:pPr>
            <w:r>
              <w:rPr>
                <w:rFonts w:hint="eastAsia" w:ascii="宋体" w:hAnsi="宋体" w:cs="Calibri"/>
                <w:kern w:val="0"/>
                <w:sz w:val="22"/>
              </w:rPr>
              <w:t>10.</w:t>
            </w:r>
            <w:r>
              <w:rPr>
                <w:rFonts w:ascii="宋体" w:hAnsi="宋体" w:cs="Calibri"/>
                <w:kern w:val="0"/>
                <w:sz w:val="22"/>
              </w:rPr>
              <w:t>1</w:t>
            </w:r>
          </w:p>
        </w:tc>
        <w:tc>
          <w:tcPr>
            <w:tcW w:w="2004" w:type="dxa"/>
            <w:shd w:val="clear" w:color="auto" w:fill="auto"/>
            <w:vAlign w:val="center"/>
          </w:tcPr>
          <w:p>
            <w:pPr>
              <w:pStyle w:val="47"/>
              <w:rPr>
                <w:rFonts w:cs="Calibri" w:asciiTheme="minorEastAsia" w:hAnsiTheme="minorEastAsia" w:eastAsiaTheme="minorEastAsia"/>
                <w:sz w:val="22"/>
                <w:szCs w:val="22"/>
              </w:rPr>
            </w:pPr>
            <w:r>
              <w:rPr>
                <w:rFonts w:cs="Calibri" w:asciiTheme="minorEastAsia" w:hAnsiTheme="minorEastAsia" w:eastAsiaTheme="minorEastAsia"/>
                <w:sz w:val="22"/>
                <w:szCs w:val="22"/>
              </w:rPr>
              <w:t>其他</w:t>
            </w:r>
          </w:p>
        </w:tc>
        <w:tc>
          <w:tcPr>
            <w:tcW w:w="6487" w:type="dxa"/>
            <w:shd w:val="clear" w:color="auto" w:fill="FFFFFF"/>
            <w:vAlign w:val="center"/>
          </w:tcPr>
          <w:p>
            <w:pPr>
              <w:adjustRightInd w:val="0"/>
              <w:snapToGrid w:val="0"/>
              <w:rPr>
                <w:rFonts w:cs="Calibri" w:asciiTheme="minorEastAsia" w:hAnsiTheme="minorEastAsia"/>
                <w:snapToGrid w:val="0"/>
                <w:kern w:val="0"/>
                <w:sz w:val="22"/>
              </w:rPr>
            </w:pPr>
            <w:r>
              <w:rPr>
                <w:rFonts w:cs="Calibri" w:asciiTheme="minorEastAsia" w:hAnsiTheme="minorEastAsia"/>
                <w:snapToGrid w:val="0"/>
                <w:kern w:val="0"/>
                <w:sz w:val="22"/>
              </w:rPr>
              <w:t>1、投标人如发现招标文件及其评标办法中存在含糊不清、相互矛盾、多种含义以及歧视性不公正条款或违法违规等内容时，请在投标截止十日前向招标人书面反映，逾期不得再对招标文件的条款提出质疑。</w:t>
            </w:r>
          </w:p>
          <w:p>
            <w:pPr>
              <w:adjustRightInd w:val="0"/>
              <w:snapToGrid w:val="0"/>
              <w:rPr>
                <w:rFonts w:cs="Calibri" w:asciiTheme="minorEastAsia" w:hAnsiTheme="minorEastAsia"/>
                <w:snapToGrid w:val="0"/>
                <w:kern w:val="0"/>
                <w:sz w:val="22"/>
              </w:rPr>
            </w:pPr>
            <w:r>
              <w:rPr>
                <w:rFonts w:cs="Calibri" w:asciiTheme="minorEastAsia" w:hAnsiTheme="minorEastAsia"/>
                <w:snapToGrid w:val="0"/>
                <w:kern w:val="0"/>
                <w:sz w:val="22"/>
              </w:rPr>
              <w:t>2、本前附表内容与招标文件其他内容不一致之处，以本前附表为准。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1" w:type="dxa"/>
            <w:shd w:val="clear" w:color="auto" w:fill="auto"/>
            <w:vAlign w:val="center"/>
          </w:tcPr>
          <w:p>
            <w:pPr>
              <w:autoSpaceDE w:val="0"/>
              <w:autoSpaceDN w:val="0"/>
              <w:adjustRightInd w:val="0"/>
              <w:snapToGrid w:val="0"/>
              <w:jc w:val="center"/>
              <w:rPr>
                <w:rFonts w:ascii="宋体" w:hAnsi="宋体" w:cs="Calibri"/>
                <w:kern w:val="0"/>
                <w:sz w:val="22"/>
              </w:rPr>
            </w:pPr>
            <w:r>
              <w:rPr>
                <w:rFonts w:hint="eastAsia" w:ascii="宋体" w:hAnsi="宋体" w:cs="Calibri"/>
                <w:kern w:val="0"/>
                <w:sz w:val="22"/>
              </w:rPr>
              <w:t>10.</w:t>
            </w:r>
            <w:r>
              <w:rPr>
                <w:rFonts w:ascii="宋体" w:hAnsi="宋体" w:cs="Calibri"/>
                <w:kern w:val="0"/>
                <w:sz w:val="22"/>
              </w:rPr>
              <w:t>2</w:t>
            </w:r>
          </w:p>
        </w:tc>
        <w:tc>
          <w:tcPr>
            <w:tcW w:w="2004" w:type="dxa"/>
            <w:shd w:val="clear" w:color="auto" w:fill="auto"/>
            <w:vAlign w:val="center"/>
          </w:tcPr>
          <w:p>
            <w:pPr>
              <w:pStyle w:val="47"/>
            </w:pPr>
            <w:r>
              <w:rPr>
                <w:rFonts w:hint="eastAsia"/>
              </w:rPr>
              <w:t>备注</w:t>
            </w:r>
          </w:p>
        </w:tc>
        <w:tc>
          <w:tcPr>
            <w:tcW w:w="6487" w:type="dxa"/>
            <w:shd w:val="clear" w:color="auto" w:fill="FFFFFF"/>
            <w:vAlign w:val="center"/>
          </w:tcPr>
          <w:p>
            <w:pPr>
              <w:adjustRightInd w:val="0"/>
              <w:snapToGrid w:val="0"/>
              <w:rPr>
                <w:rFonts w:ascii="宋体" w:hAnsi="宋体" w:cs="Calibri"/>
                <w:snapToGrid w:val="0"/>
                <w:kern w:val="0"/>
                <w:sz w:val="22"/>
              </w:rPr>
            </w:pPr>
            <w:r>
              <w:rPr>
                <w:rFonts w:ascii="宋体" w:hAnsi="宋体" w:cs="Calibri"/>
                <w:snapToGrid w:val="0"/>
                <w:kern w:val="0"/>
                <w:sz w:val="22"/>
              </w:rPr>
              <w:t>本前附表内容与招标文件其他内容不一致之处，以本前附表为准。</w:t>
            </w:r>
          </w:p>
        </w:tc>
      </w:tr>
    </w:tbl>
    <w:p>
      <w:pPr>
        <w:autoSpaceDE w:val="0"/>
        <w:autoSpaceDN w:val="0"/>
        <w:adjustRightInd w:val="0"/>
        <w:snapToGrid w:val="0"/>
        <w:spacing w:line="400" w:lineRule="exact"/>
        <w:rPr>
          <w:b/>
        </w:rPr>
      </w:pPr>
      <w:bookmarkStart w:id="5" w:name="_Toc26216"/>
    </w:p>
    <w:p>
      <w:pPr>
        <w:autoSpaceDE w:val="0"/>
        <w:autoSpaceDN w:val="0"/>
        <w:adjustRightInd w:val="0"/>
        <w:snapToGrid w:val="0"/>
        <w:spacing w:line="360" w:lineRule="exact"/>
        <w:rPr>
          <w:rFonts w:cs="Calibri" w:asciiTheme="minorEastAsia" w:hAnsiTheme="minorEastAsia"/>
          <w:b/>
          <w:bCs/>
          <w:kern w:val="0"/>
          <w:sz w:val="22"/>
        </w:rPr>
      </w:pPr>
      <w:r>
        <w:rPr>
          <w:b/>
        </w:rPr>
        <w:br w:type="page"/>
      </w:r>
      <w:bookmarkEnd w:id="5"/>
      <w:r>
        <w:rPr>
          <w:rFonts w:cs="Calibri" w:asciiTheme="minorEastAsia" w:hAnsiTheme="minorEastAsia"/>
          <w:b/>
          <w:bCs/>
          <w:kern w:val="0"/>
          <w:sz w:val="22"/>
        </w:rPr>
        <w:t>1.</w:t>
      </w:r>
      <w:r>
        <w:rPr>
          <w:rFonts w:hint="eastAsia" w:cs="Calibri" w:asciiTheme="minorEastAsia" w:hAnsiTheme="minorEastAsia"/>
          <w:b/>
          <w:bCs/>
          <w:kern w:val="0"/>
          <w:sz w:val="22"/>
        </w:rPr>
        <w:t xml:space="preserve"> </w:t>
      </w:r>
      <w:r>
        <w:rPr>
          <w:rFonts w:cs="Calibri" w:asciiTheme="minorEastAsia" w:hAnsiTheme="minorEastAsia"/>
          <w:b/>
          <w:bCs/>
          <w:kern w:val="0"/>
          <w:sz w:val="22"/>
        </w:rPr>
        <w:t>总则</w:t>
      </w:r>
    </w:p>
    <w:p>
      <w:pPr>
        <w:autoSpaceDE w:val="0"/>
        <w:autoSpaceDN w:val="0"/>
        <w:adjustRightInd w:val="0"/>
        <w:snapToGrid w:val="0"/>
        <w:spacing w:line="360" w:lineRule="exact"/>
        <w:rPr>
          <w:rFonts w:cs="Calibri" w:asciiTheme="minorEastAsia" w:hAnsiTheme="minorEastAsia"/>
          <w:b/>
          <w:bCs/>
          <w:kern w:val="0"/>
          <w:sz w:val="22"/>
        </w:rPr>
      </w:pPr>
      <w:r>
        <w:rPr>
          <w:rFonts w:cs="Calibri" w:asciiTheme="minorEastAsia" w:hAnsiTheme="minorEastAsia"/>
          <w:b/>
          <w:bCs/>
          <w:kern w:val="0"/>
          <w:sz w:val="22"/>
        </w:rPr>
        <w:t>1.1 项目概况</w:t>
      </w:r>
    </w:p>
    <w:p>
      <w:pPr>
        <w:adjustRightInd w:val="0"/>
        <w:snapToGrid w:val="0"/>
        <w:spacing w:line="360" w:lineRule="exact"/>
        <w:ind w:firstLine="440"/>
        <w:rPr>
          <w:rFonts w:cs="Calibri" w:asciiTheme="minorEastAsia" w:hAnsiTheme="minorEastAsia"/>
          <w:color w:val="000000"/>
          <w:kern w:val="0"/>
          <w:sz w:val="22"/>
        </w:rPr>
      </w:pPr>
      <w:r>
        <w:rPr>
          <w:rFonts w:cs="Calibri" w:asciiTheme="minorEastAsia" w:hAnsiTheme="minorEastAsia"/>
          <w:color w:val="000000"/>
          <w:kern w:val="0"/>
          <w:sz w:val="22"/>
        </w:rPr>
        <w:t>1.1.1项目名称见投标人须知前附表。根据《中华人民共和国招标投标法》、《中华人民共和国招标投标法实施条例》等有关法律、法规和规章的规定，本招标项目已具备招标条件，现对本项目进行招标。</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kern w:val="0"/>
          <w:sz w:val="22"/>
        </w:rPr>
        <w:t>1.1.2项目建设地点见投标人须知前附表</w:t>
      </w:r>
      <w:r>
        <w:rPr>
          <w:rFonts w:cs="Calibri" w:asciiTheme="minorEastAsia" w:hAnsiTheme="minorEastAsia"/>
          <w:color w:val="000000"/>
          <w:sz w:val="22"/>
        </w:rPr>
        <w:t>。</w:t>
      </w:r>
    </w:p>
    <w:p>
      <w:pPr>
        <w:autoSpaceDE w:val="0"/>
        <w:autoSpaceDN w:val="0"/>
        <w:adjustRightInd w:val="0"/>
        <w:snapToGrid w:val="0"/>
        <w:spacing w:line="360" w:lineRule="exact"/>
        <w:rPr>
          <w:rFonts w:cs="Calibri" w:asciiTheme="minorEastAsia" w:hAnsiTheme="minorEastAsia"/>
          <w:b/>
          <w:bCs/>
          <w:kern w:val="0"/>
          <w:sz w:val="22"/>
        </w:rPr>
      </w:pPr>
      <w:bookmarkStart w:id="6" w:name="_Toc9136"/>
      <w:r>
        <w:rPr>
          <w:rFonts w:cs="Calibri" w:asciiTheme="minorEastAsia" w:hAnsiTheme="minorEastAsia"/>
          <w:b/>
          <w:bCs/>
          <w:kern w:val="0"/>
          <w:sz w:val="22"/>
        </w:rPr>
        <w:t>1.</w:t>
      </w:r>
      <w:r>
        <w:rPr>
          <w:rFonts w:hint="eastAsia" w:cs="Calibri" w:asciiTheme="minorEastAsia" w:hAnsiTheme="minorEastAsia"/>
          <w:b/>
          <w:bCs/>
          <w:kern w:val="0"/>
          <w:sz w:val="22"/>
        </w:rPr>
        <w:t>2</w:t>
      </w:r>
      <w:r>
        <w:rPr>
          <w:rFonts w:cs="Calibri" w:asciiTheme="minorEastAsia" w:hAnsiTheme="minorEastAsia"/>
          <w:b/>
          <w:bCs/>
          <w:kern w:val="0"/>
          <w:sz w:val="22"/>
        </w:rPr>
        <w:t xml:space="preserve"> 资金来源</w:t>
      </w:r>
      <w:bookmarkEnd w:id="6"/>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7" w:name="_Toc10673"/>
      <w:r>
        <w:rPr>
          <w:rFonts w:cs="Calibri" w:asciiTheme="minorEastAsia" w:hAnsiTheme="minorEastAsia"/>
          <w:b/>
          <w:bCs/>
          <w:kern w:val="0"/>
          <w:sz w:val="22"/>
        </w:rPr>
        <w:t>1.</w:t>
      </w:r>
      <w:r>
        <w:rPr>
          <w:rFonts w:hint="eastAsia" w:cs="Calibri" w:asciiTheme="minorEastAsia" w:hAnsiTheme="minorEastAsia"/>
          <w:b/>
          <w:bCs/>
          <w:kern w:val="0"/>
          <w:sz w:val="22"/>
        </w:rPr>
        <w:t>3</w:t>
      </w:r>
      <w:r>
        <w:rPr>
          <w:rFonts w:cs="Calibri" w:asciiTheme="minorEastAsia" w:hAnsiTheme="minorEastAsia"/>
          <w:b/>
          <w:bCs/>
          <w:kern w:val="0"/>
          <w:sz w:val="22"/>
        </w:rPr>
        <w:t xml:space="preserve"> 招标</w:t>
      </w:r>
      <w:bookmarkEnd w:id="7"/>
      <w:r>
        <w:rPr>
          <w:rFonts w:hint="eastAsia" w:cs="Calibri" w:asciiTheme="minorEastAsia" w:hAnsiTheme="minorEastAsia"/>
          <w:b/>
          <w:bCs/>
          <w:kern w:val="0"/>
          <w:sz w:val="22"/>
        </w:rPr>
        <w:t>内容</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8" w:name="_Toc718"/>
      <w:r>
        <w:rPr>
          <w:rFonts w:cs="Calibri" w:asciiTheme="minorEastAsia" w:hAnsiTheme="minorEastAsia"/>
          <w:b/>
          <w:bCs/>
          <w:kern w:val="0"/>
          <w:sz w:val="22"/>
        </w:rPr>
        <w:t>1.</w:t>
      </w:r>
      <w:r>
        <w:rPr>
          <w:rFonts w:hint="eastAsia" w:cs="Calibri" w:asciiTheme="minorEastAsia" w:hAnsiTheme="minorEastAsia"/>
          <w:b/>
          <w:bCs/>
          <w:kern w:val="0"/>
          <w:sz w:val="22"/>
        </w:rPr>
        <w:t>4</w:t>
      </w:r>
      <w:r>
        <w:rPr>
          <w:rFonts w:cs="Calibri" w:asciiTheme="minorEastAsia" w:hAnsiTheme="minorEastAsia"/>
          <w:b/>
          <w:bCs/>
          <w:kern w:val="0"/>
          <w:sz w:val="22"/>
        </w:rPr>
        <w:t xml:space="preserve"> 招标方式</w:t>
      </w:r>
      <w:bookmarkEnd w:id="8"/>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9" w:name="_Toc9161"/>
      <w:r>
        <w:rPr>
          <w:rFonts w:cs="Calibri" w:asciiTheme="minorEastAsia" w:hAnsiTheme="minorEastAsia"/>
          <w:b/>
          <w:bCs/>
          <w:kern w:val="0"/>
          <w:sz w:val="22"/>
        </w:rPr>
        <w:t>1.</w:t>
      </w:r>
      <w:r>
        <w:rPr>
          <w:rFonts w:hint="eastAsia" w:cs="Calibri" w:asciiTheme="minorEastAsia" w:hAnsiTheme="minorEastAsia"/>
          <w:b/>
          <w:bCs/>
          <w:kern w:val="0"/>
          <w:sz w:val="22"/>
        </w:rPr>
        <w:t xml:space="preserve">5 </w:t>
      </w:r>
      <w:r>
        <w:rPr>
          <w:rFonts w:cs="Calibri" w:asciiTheme="minorEastAsia" w:hAnsiTheme="minorEastAsia"/>
          <w:b/>
          <w:bCs/>
          <w:kern w:val="0"/>
          <w:sz w:val="22"/>
        </w:rPr>
        <w:t>资格审查</w:t>
      </w:r>
      <w:bookmarkEnd w:id="9"/>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10" w:name="_Toc13012"/>
      <w:r>
        <w:rPr>
          <w:rFonts w:cs="Calibri" w:asciiTheme="minorEastAsia" w:hAnsiTheme="minorEastAsia"/>
          <w:b/>
          <w:bCs/>
          <w:kern w:val="0"/>
          <w:sz w:val="22"/>
        </w:rPr>
        <w:t>1.</w:t>
      </w:r>
      <w:r>
        <w:rPr>
          <w:rFonts w:hint="eastAsia" w:cs="Calibri" w:asciiTheme="minorEastAsia" w:hAnsiTheme="minorEastAsia"/>
          <w:b/>
          <w:bCs/>
          <w:kern w:val="0"/>
          <w:sz w:val="22"/>
        </w:rPr>
        <w:t>6</w:t>
      </w:r>
      <w:r>
        <w:rPr>
          <w:rFonts w:cs="Calibri" w:asciiTheme="minorEastAsia" w:hAnsiTheme="minorEastAsia"/>
          <w:b/>
          <w:bCs/>
          <w:kern w:val="0"/>
          <w:sz w:val="22"/>
        </w:rPr>
        <w:t xml:space="preserve"> 投标人资质条件、能力和信誉</w:t>
      </w:r>
      <w:bookmarkEnd w:id="10"/>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11" w:name="_Toc2796"/>
      <w:r>
        <w:rPr>
          <w:rFonts w:cs="Calibri" w:asciiTheme="minorEastAsia" w:hAnsiTheme="minorEastAsia"/>
          <w:b/>
          <w:bCs/>
          <w:kern w:val="0"/>
          <w:sz w:val="22"/>
        </w:rPr>
        <w:t>1.</w:t>
      </w:r>
      <w:r>
        <w:rPr>
          <w:rFonts w:hint="eastAsia" w:cs="Calibri" w:asciiTheme="minorEastAsia" w:hAnsiTheme="minorEastAsia"/>
          <w:b/>
          <w:bCs/>
          <w:kern w:val="0"/>
          <w:sz w:val="22"/>
        </w:rPr>
        <w:t>7</w:t>
      </w:r>
      <w:r>
        <w:rPr>
          <w:rFonts w:cs="Calibri" w:asciiTheme="minorEastAsia" w:hAnsiTheme="minorEastAsia"/>
          <w:b/>
          <w:bCs/>
          <w:kern w:val="0"/>
          <w:sz w:val="22"/>
        </w:rPr>
        <w:t xml:space="preserve"> 工期</w:t>
      </w:r>
      <w:bookmarkEnd w:id="11"/>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r>
        <w:rPr>
          <w:rFonts w:hint="eastAsia" w:cs="Calibri" w:asciiTheme="minorEastAsia" w:hAnsiTheme="minorEastAsia"/>
          <w:b/>
          <w:bCs/>
          <w:kern w:val="0"/>
          <w:sz w:val="22"/>
        </w:rPr>
        <w:t>1.8 质量要求</w:t>
      </w:r>
    </w:p>
    <w:p>
      <w:pPr>
        <w:adjustRightInd w:val="0"/>
        <w:snapToGrid w:val="0"/>
        <w:spacing w:line="360" w:lineRule="exact"/>
        <w:ind w:firstLine="440"/>
        <w:rPr>
          <w:rFonts w:cs="Calibri" w:asciiTheme="minorEastAsia" w:hAnsiTheme="minorEastAsia"/>
          <w:color w:val="000000"/>
          <w:sz w:val="22"/>
        </w:rPr>
      </w:pPr>
      <w:bookmarkStart w:id="12" w:name="_Toc13907"/>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r>
        <w:rPr>
          <w:rFonts w:cs="Calibri" w:asciiTheme="minorEastAsia" w:hAnsiTheme="minorEastAsia"/>
          <w:b/>
          <w:bCs/>
          <w:kern w:val="0"/>
          <w:sz w:val="22"/>
        </w:rPr>
        <w:t>1.</w:t>
      </w:r>
      <w:r>
        <w:rPr>
          <w:rFonts w:hint="eastAsia" w:cs="Calibri" w:asciiTheme="minorEastAsia" w:hAnsiTheme="minorEastAsia"/>
          <w:b/>
          <w:bCs/>
          <w:kern w:val="0"/>
          <w:sz w:val="22"/>
        </w:rPr>
        <w:t>9</w:t>
      </w:r>
      <w:r>
        <w:rPr>
          <w:rFonts w:cs="Calibri" w:asciiTheme="minorEastAsia" w:hAnsiTheme="minorEastAsia"/>
          <w:b/>
          <w:bCs/>
          <w:kern w:val="0"/>
          <w:sz w:val="22"/>
        </w:rPr>
        <w:t xml:space="preserve"> 踏勘现场</w:t>
      </w:r>
      <w:bookmarkEnd w:id="12"/>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sz w:val="22"/>
        </w:rPr>
        <w:t>1.</w:t>
      </w:r>
      <w:r>
        <w:rPr>
          <w:rFonts w:hint="eastAsia" w:cs="Calibri" w:asciiTheme="minorEastAsia" w:hAnsiTheme="minorEastAsia"/>
          <w:sz w:val="22"/>
        </w:rPr>
        <w:t>9</w:t>
      </w:r>
      <w:r>
        <w:rPr>
          <w:rFonts w:cs="Calibri" w:asciiTheme="minorEastAsia" w:hAnsiTheme="minorEastAsia"/>
          <w:sz w:val="22"/>
        </w:rPr>
        <w:t>.1</w:t>
      </w:r>
      <w:r>
        <w:rPr>
          <w:rFonts w:cs="Calibri" w:asciiTheme="minorEastAsia" w:hAnsiTheme="minorEastAsia"/>
          <w:color w:val="000000"/>
          <w:sz w:val="22"/>
        </w:rPr>
        <w:t>投标人须知前附表规定组织踏勘现场的，招标人按投标人须知前附表规定的时间、地点组织投标人踏勘项目现场。</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1.</w:t>
      </w:r>
      <w:r>
        <w:rPr>
          <w:rFonts w:hint="eastAsia" w:cs="Calibri" w:asciiTheme="minorEastAsia" w:hAnsiTheme="minorEastAsia"/>
          <w:color w:val="000000"/>
          <w:sz w:val="22"/>
        </w:rPr>
        <w:t>9</w:t>
      </w:r>
      <w:r>
        <w:rPr>
          <w:rFonts w:cs="Calibri" w:asciiTheme="minorEastAsia" w:hAnsiTheme="minorEastAsia"/>
          <w:color w:val="000000"/>
          <w:sz w:val="22"/>
        </w:rPr>
        <w:t>.2 投标人踏勘现场发生的费用自理。</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1.</w:t>
      </w:r>
      <w:r>
        <w:rPr>
          <w:rFonts w:hint="eastAsia" w:cs="Calibri" w:asciiTheme="minorEastAsia" w:hAnsiTheme="minorEastAsia"/>
          <w:color w:val="000000"/>
          <w:sz w:val="22"/>
        </w:rPr>
        <w:t>9</w:t>
      </w:r>
      <w:r>
        <w:rPr>
          <w:rFonts w:cs="Calibri" w:asciiTheme="minorEastAsia" w:hAnsiTheme="minorEastAsia"/>
          <w:color w:val="000000"/>
          <w:sz w:val="22"/>
        </w:rPr>
        <w:t>.3 投标人自行负责在踏勘现场中所发生的人员伤亡和财产损失。</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1.</w:t>
      </w:r>
      <w:r>
        <w:rPr>
          <w:rFonts w:hint="eastAsia" w:cs="Calibri" w:asciiTheme="minorEastAsia" w:hAnsiTheme="minorEastAsia"/>
          <w:color w:val="000000"/>
          <w:sz w:val="22"/>
        </w:rPr>
        <w:t>9</w:t>
      </w:r>
      <w:r>
        <w:rPr>
          <w:rFonts w:cs="Calibri" w:asciiTheme="minorEastAsia" w:hAnsiTheme="minorEastAsia"/>
          <w:color w:val="000000"/>
          <w:sz w:val="22"/>
        </w:rPr>
        <w:t>.4 招标人向投标人提供的有关现场的数据和资料，仅供投标人在编制投标文件时参考，招标人不对投标人据此作出的判断和决策负责。</w:t>
      </w:r>
    </w:p>
    <w:p>
      <w:pPr>
        <w:autoSpaceDE w:val="0"/>
        <w:autoSpaceDN w:val="0"/>
        <w:adjustRightInd w:val="0"/>
        <w:snapToGrid w:val="0"/>
        <w:spacing w:line="360" w:lineRule="exact"/>
        <w:rPr>
          <w:rFonts w:cs="Calibri" w:asciiTheme="minorEastAsia" w:hAnsiTheme="minorEastAsia"/>
          <w:b/>
          <w:bCs/>
          <w:kern w:val="0"/>
          <w:sz w:val="22"/>
        </w:rPr>
      </w:pPr>
      <w:bookmarkStart w:id="13" w:name="_Toc4199"/>
      <w:r>
        <w:rPr>
          <w:rFonts w:cs="Calibri" w:asciiTheme="minorEastAsia" w:hAnsiTheme="minorEastAsia"/>
          <w:b/>
          <w:bCs/>
          <w:kern w:val="0"/>
          <w:sz w:val="22"/>
        </w:rPr>
        <w:t>1.</w:t>
      </w:r>
      <w:r>
        <w:rPr>
          <w:rFonts w:hint="eastAsia" w:cs="Calibri" w:asciiTheme="minorEastAsia" w:hAnsiTheme="minorEastAsia"/>
          <w:b/>
          <w:bCs/>
          <w:kern w:val="0"/>
          <w:sz w:val="22"/>
        </w:rPr>
        <w:t>10</w:t>
      </w:r>
      <w:r>
        <w:rPr>
          <w:rFonts w:cs="Calibri" w:asciiTheme="minorEastAsia" w:hAnsiTheme="minorEastAsia"/>
          <w:b/>
          <w:bCs/>
          <w:kern w:val="0"/>
          <w:sz w:val="22"/>
        </w:rPr>
        <w:t xml:space="preserve"> 投标预备会</w:t>
      </w:r>
      <w:bookmarkEnd w:id="13"/>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b/>
          <w:bCs/>
          <w:kern w:val="0"/>
          <w:sz w:val="22"/>
        </w:rPr>
      </w:pPr>
      <w:bookmarkStart w:id="14" w:name="_Toc4584"/>
      <w:r>
        <w:rPr>
          <w:rFonts w:cs="Calibri" w:asciiTheme="minorEastAsia" w:hAnsiTheme="minorEastAsia"/>
          <w:b/>
          <w:bCs/>
          <w:kern w:val="0"/>
          <w:sz w:val="22"/>
        </w:rPr>
        <w:t>1.1</w:t>
      </w:r>
      <w:r>
        <w:rPr>
          <w:rFonts w:hint="eastAsia" w:cs="Calibri" w:asciiTheme="minorEastAsia" w:hAnsiTheme="minorEastAsia"/>
          <w:b/>
          <w:bCs/>
          <w:kern w:val="0"/>
          <w:sz w:val="22"/>
        </w:rPr>
        <w:t>1</w:t>
      </w:r>
      <w:r>
        <w:rPr>
          <w:rFonts w:cs="Calibri" w:asciiTheme="minorEastAsia" w:hAnsiTheme="minorEastAsia"/>
          <w:b/>
          <w:bCs/>
          <w:kern w:val="0"/>
          <w:sz w:val="22"/>
        </w:rPr>
        <w:t xml:space="preserve"> 分包</w:t>
      </w:r>
      <w:bookmarkEnd w:id="14"/>
    </w:p>
    <w:p>
      <w:pPr>
        <w:adjustRightInd w:val="0"/>
        <w:snapToGrid w:val="0"/>
        <w:spacing w:line="360" w:lineRule="exact"/>
        <w:ind w:firstLine="440"/>
        <w:rPr>
          <w:rFonts w:cs="Calibri" w:asciiTheme="minorEastAsia" w:hAnsiTheme="minorEastAsia"/>
          <w:color w:val="000000"/>
          <w:sz w:val="22"/>
        </w:rPr>
      </w:pPr>
      <w:bookmarkStart w:id="15" w:name="_Toc3996"/>
      <w:r>
        <w:rPr>
          <w:rFonts w:cs="Calibri" w:asciiTheme="minorEastAsia" w:hAnsiTheme="minorEastAsia"/>
          <w:color w:val="000000"/>
          <w:sz w:val="22"/>
        </w:rPr>
        <w:t>本项目</w:t>
      </w:r>
      <w:r>
        <w:rPr>
          <w:rFonts w:hint="eastAsia" w:cs="Calibri" w:asciiTheme="minorEastAsia" w:hAnsiTheme="minorEastAsia"/>
          <w:color w:val="000000"/>
          <w:sz w:val="22"/>
        </w:rPr>
        <w:t>不</w:t>
      </w:r>
      <w:r>
        <w:rPr>
          <w:rFonts w:cs="Calibri" w:asciiTheme="minorEastAsia" w:hAnsiTheme="minorEastAsia"/>
          <w:color w:val="000000"/>
          <w:sz w:val="22"/>
        </w:rPr>
        <w:t>允许分包。</w:t>
      </w:r>
    </w:p>
    <w:p>
      <w:pPr>
        <w:autoSpaceDE w:val="0"/>
        <w:autoSpaceDN w:val="0"/>
        <w:adjustRightInd w:val="0"/>
        <w:snapToGrid w:val="0"/>
        <w:spacing w:line="360" w:lineRule="exact"/>
        <w:rPr>
          <w:rFonts w:cs="Calibri" w:asciiTheme="minorEastAsia" w:hAnsiTheme="minorEastAsia"/>
          <w:b/>
          <w:bCs/>
          <w:kern w:val="0"/>
          <w:sz w:val="22"/>
        </w:rPr>
      </w:pPr>
      <w:r>
        <w:rPr>
          <w:rFonts w:cs="Calibri" w:asciiTheme="minorEastAsia" w:hAnsiTheme="minorEastAsia"/>
          <w:b/>
          <w:bCs/>
          <w:kern w:val="0"/>
          <w:sz w:val="22"/>
        </w:rPr>
        <w:t>1.1</w:t>
      </w:r>
      <w:r>
        <w:rPr>
          <w:rFonts w:hint="eastAsia" w:cs="Calibri" w:asciiTheme="minorEastAsia" w:hAnsiTheme="minorEastAsia"/>
          <w:b/>
          <w:bCs/>
          <w:kern w:val="0"/>
          <w:sz w:val="22"/>
        </w:rPr>
        <w:t>2</w:t>
      </w:r>
      <w:r>
        <w:rPr>
          <w:rFonts w:cs="Calibri" w:asciiTheme="minorEastAsia" w:hAnsiTheme="minorEastAsia"/>
          <w:b/>
          <w:bCs/>
          <w:kern w:val="0"/>
          <w:sz w:val="22"/>
        </w:rPr>
        <w:t xml:space="preserve"> 投标费用</w:t>
      </w:r>
      <w:bookmarkEnd w:id="15"/>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投标人在投标过程中的一切费用，不论中标与否，均由投标人自理。</w:t>
      </w:r>
    </w:p>
    <w:p>
      <w:pPr>
        <w:autoSpaceDE w:val="0"/>
        <w:autoSpaceDN w:val="0"/>
        <w:adjustRightInd w:val="0"/>
        <w:snapToGrid w:val="0"/>
        <w:spacing w:line="360" w:lineRule="exact"/>
        <w:rPr>
          <w:rFonts w:cs="Calibri" w:asciiTheme="minorEastAsia" w:hAnsiTheme="minorEastAsia"/>
          <w:b/>
          <w:bCs/>
          <w:kern w:val="0"/>
          <w:sz w:val="22"/>
        </w:rPr>
      </w:pPr>
      <w:bookmarkStart w:id="16" w:name="_Toc143421657"/>
      <w:bookmarkStart w:id="17" w:name="_Toc15241"/>
      <w:r>
        <w:rPr>
          <w:rFonts w:cs="Calibri" w:asciiTheme="minorEastAsia" w:hAnsiTheme="minorEastAsia"/>
          <w:b/>
          <w:bCs/>
          <w:kern w:val="0"/>
          <w:sz w:val="22"/>
        </w:rPr>
        <w:t>2.招标文件</w:t>
      </w:r>
      <w:bookmarkEnd w:id="16"/>
      <w:bookmarkEnd w:id="17"/>
    </w:p>
    <w:p>
      <w:pPr>
        <w:autoSpaceDE w:val="0"/>
        <w:autoSpaceDN w:val="0"/>
        <w:adjustRightInd w:val="0"/>
        <w:snapToGrid w:val="0"/>
        <w:spacing w:line="360" w:lineRule="exact"/>
        <w:rPr>
          <w:rFonts w:cs="Calibri" w:asciiTheme="minorEastAsia" w:hAnsiTheme="minorEastAsia"/>
          <w:b/>
          <w:bCs/>
          <w:kern w:val="0"/>
          <w:sz w:val="22"/>
        </w:rPr>
      </w:pPr>
      <w:bookmarkStart w:id="18" w:name="_Toc1426"/>
      <w:r>
        <w:rPr>
          <w:rFonts w:cs="Calibri" w:asciiTheme="minorEastAsia" w:hAnsiTheme="minorEastAsia"/>
          <w:b/>
          <w:bCs/>
          <w:kern w:val="0"/>
          <w:sz w:val="22"/>
        </w:rPr>
        <w:t>2.1 招标文件的组成</w:t>
      </w:r>
      <w:bookmarkEnd w:id="18"/>
    </w:p>
    <w:p>
      <w:pPr>
        <w:adjustRightInd w:val="0"/>
        <w:snapToGrid w:val="0"/>
        <w:spacing w:line="360" w:lineRule="exact"/>
        <w:ind w:firstLine="440"/>
        <w:rPr>
          <w:rFonts w:ascii="宋体" w:hAnsi="宋体" w:cs="Calibri"/>
          <w:kern w:val="0"/>
          <w:sz w:val="22"/>
        </w:rPr>
      </w:pPr>
      <w:r>
        <w:rPr>
          <w:rFonts w:ascii="宋体" w:hAnsi="宋体" w:cs="Calibri"/>
          <w:kern w:val="0"/>
          <w:sz w:val="22"/>
        </w:rPr>
        <w:t>本招标文件包括：</w:t>
      </w:r>
    </w:p>
    <w:p>
      <w:pPr>
        <w:adjustRightInd w:val="0"/>
        <w:snapToGrid w:val="0"/>
        <w:spacing w:line="360" w:lineRule="exact"/>
        <w:ind w:firstLine="440"/>
        <w:rPr>
          <w:rFonts w:ascii="宋体" w:hAnsi="宋体" w:cs="Calibri"/>
          <w:kern w:val="0"/>
          <w:sz w:val="22"/>
        </w:rPr>
      </w:pPr>
      <w:r>
        <w:rPr>
          <w:rFonts w:ascii="宋体" w:hAnsi="宋体" w:cs="Calibri"/>
          <w:kern w:val="0"/>
          <w:sz w:val="22"/>
        </w:rPr>
        <w:t>（1）招标公告</w:t>
      </w:r>
    </w:p>
    <w:p>
      <w:pPr>
        <w:adjustRightInd w:val="0"/>
        <w:snapToGrid w:val="0"/>
        <w:spacing w:line="360" w:lineRule="exact"/>
        <w:ind w:firstLine="440"/>
        <w:rPr>
          <w:rFonts w:ascii="宋体" w:hAnsi="宋体" w:cs="Calibri"/>
          <w:kern w:val="0"/>
          <w:sz w:val="22"/>
        </w:rPr>
      </w:pPr>
      <w:r>
        <w:rPr>
          <w:rFonts w:ascii="宋体" w:hAnsi="宋体" w:cs="Calibri"/>
          <w:kern w:val="0"/>
          <w:sz w:val="22"/>
        </w:rPr>
        <w:t>（2）投标人须知</w:t>
      </w:r>
      <w:r>
        <w:rPr>
          <w:rFonts w:hint="eastAsia" w:ascii="宋体" w:hAnsi="宋体" w:cs="Calibri"/>
          <w:kern w:val="0"/>
          <w:sz w:val="22"/>
        </w:rPr>
        <w:t>及评标办法</w:t>
      </w:r>
    </w:p>
    <w:p>
      <w:pPr>
        <w:adjustRightInd w:val="0"/>
        <w:snapToGrid w:val="0"/>
        <w:spacing w:line="360" w:lineRule="exact"/>
        <w:ind w:firstLine="440"/>
        <w:rPr>
          <w:rFonts w:ascii="宋体" w:hAnsi="宋体" w:cs="Calibri"/>
          <w:kern w:val="0"/>
          <w:sz w:val="22"/>
        </w:rPr>
      </w:pPr>
      <w:r>
        <w:rPr>
          <w:rFonts w:ascii="宋体" w:hAnsi="宋体" w:cs="Calibri"/>
          <w:kern w:val="0"/>
          <w:sz w:val="22"/>
        </w:rPr>
        <w:t>（</w:t>
      </w:r>
      <w:r>
        <w:rPr>
          <w:rFonts w:hint="eastAsia" w:ascii="宋体" w:hAnsi="宋体" w:cs="Calibri"/>
          <w:kern w:val="0"/>
          <w:sz w:val="22"/>
        </w:rPr>
        <w:t>3</w:t>
      </w:r>
      <w:r>
        <w:rPr>
          <w:rFonts w:ascii="宋体" w:hAnsi="宋体" w:cs="Calibri"/>
          <w:kern w:val="0"/>
          <w:sz w:val="22"/>
        </w:rPr>
        <w:t>）合同条款</w:t>
      </w:r>
      <w:r>
        <w:rPr>
          <w:rFonts w:hint="eastAsia" w:ascii="宋体" w:hAnsi="宋体" w:cs="Calibri"/>
          <w:kern w:val="0"/>
          <w:sz w:val="22"/>
        </w:rPr>
        <w:t>及格式</w:t>
      </w:r>
    </w:p>
    <w:p>
      <w:pPr>
        <w:adjustRightInd w:val="0"/>
        <w:snapToGrid w:val="0"/>
        <w:spacing w:line="360" w:lineRule="exact"/>
        <w:ind w:firstLine="440"/>
        <w:rPr>
          <w:rFonts w:ascii="宋体" w:hAnsi="宋体" w:cs="Calibri"/>
          <w:kern w:val="0"/>
          <w:sz w:val="22"/>
        </w:rPr>
      </w:pPr>
      <w:r>
        <w:rPr>
          <w:rFonts w:ascii="宋体" w:hAnsi="宋体" w:cs="Calibri"/>
          <w:kern w:val="0"/>
          <w:sz w:val="22"/>
        </w:rPr>
        <w:t>（</w:t>
      </w:r>
      <w:r>
        <w:rPr>
          <w:rFonts w:hint="eastAsia" w:ascii="宋体" w:hAnsi="宋体" w:cs="Calibri"/>
          <w:kern w:val="0"/>
          <w:sz w:val="22"/>
        </w:rPr>
        <w:t>4</w:t>
      </w:r>
      <w:r>
        <w:rPr>
          <w:rFonts w:ascii="宋体" w:hAnsi="宋体" w:cs="Calibri"/>
          <w:kern w:val="0"/>
          <w:sz w:val="22"/>
        </w:rPr>
        <w:t>）</w:t>
      </w:r>
      <w:r>
        <w:rPr>
          <w:rFonts w:hint="eastAsia" w:ascii="宋体" w:hAnsi="宋体" w:cs="Calibri"/>
          <w:kern w:val="0"/>
          <w:sz w:val="22"/>
        </w:rPr>
        <w:t>参考工程量清单</w:t>
      </w:r>
    </w:p>
    <w:p>
      <w:pPr>
        <w:adjustRightInd w:val="0"/>
        <w:snapToGrid w:val="0"/>
        <w:spacing w:line="360" w:lineRule="exact"/>
        <w:ind w:firstLine="440"/>
        <w:rPr>
          <w:rFonts w:ascii="宋体" w:hAnsi="宋体" w:cs="Calibri"/>
          <w:kern w:val="0"/>
          <w:sz w:val="22"/>
        </w:rPr>
      </w:pPr>
      <w:r>
        <w:rPr>
          <w:rFonts w:ascii="宋体" w:hAnsi="宋体" w:cs="Calibri"/>
          <w:kern w:val="0"/>
          <w:sz w:val="22"/>
        </w:rPr>
        <w:t>（5）投标文件格式</w:t>
      </w:r>
    </w:p>
    <w:p>
      <w:pPr>
        <w:adjustRightInd w:val="0"/>
        <w:snapToGrid w:val="0"/>
        <w:spacing w:line="360" w:lineRule="exact"/>
        <w:ind w:firstLine="440"/>
        <w:rPr>
          <w:rFonts w:ascii="宋体" w:hAnsi="宋体" w:cs="Calibri"/>
          <w:kern w:val="0"/>
          <w:sz w:val="22"/>
        </w:rPr>
      </w:pPr>
      <w:r>
        <w:rPr>
          <w:rFonts w:ascii="宋体" w:hAnsi="宋体" w:cs="Calibri"/>
          <w:sz w:val="22"/>
        </w:rPr>
        <w:t>根据本须知第2.2款和2.3款对招标文件做出的澄清、修改，构成招标文件的组成部分。</w:t>
      </w:r>
    </w:p>
    <w:p>
      <w:pPr>
        <w:autoSpaceDE w:val="0"/>
        <w:autoSpaceDN w:val="0"/>
        <w:adjustRightInd w:val="0"/>
        <w:snapToGrid w:val="0"/>
        <w:spacing w:line="360" w:lineRule="exact"/>
        <w:rPr>
          <w:rFonts w:cs="Calibri" w:asciiTheme="minorEastAsia" w:hAnsiTheme="minorEastAsia"/>
          <w:b/>
          <w:bCs/>
          <w:kern w:val="0"/>
          <w:sz w:val="22"/>
        </w:rPr>
      </w:pPr>
      <w:bookmarkStart w:id="19" w:name="_Toc18230"/>
      <w:r>
        <w:rPr>
          <w:rFonts w:cs="Calibri" w:asciiTheme="minorEastAsia" w:hAnsiTheme="minorEastAsia"/>
          <w:b/>
          <w:bCs/>
          <w:kern w:val="0"/>
          <w:sz w:val="22"/>
        </w:rPr>
        <w:t>2.2 招标文件的澄清</w:t>
      </w:r>
      <w:bookmarkEnd w:id="19"/>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2.2.1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2.2.2</w:t>
      </w:r>
      <w:r>
        <w:rPr>
          <w:rFonts w:hint="eastAsia" w:cs="Calibri" w:asciiTheme="minorEastAsia" w:hAnsiTheme="minorEastAsia"/>
          <w:kern w:val="0"/>
          <w:sz w:val="22"/>
        </w:rPr>
        <w:t>招标人将视情况采用补充公告的方式予以澄清。</w:t>
      </w:r>
    </w:p>
    <w:p>
      <w:pPr>
        <w:autoSpaceDE w:val="0"/>
        <w:autoSpaceDN w:val="0"/>
        <w:adjustRightInd w:val="0"/>
        <w:snapToGrid w:val="0"/>
        <w:spacing w:line="360" w:lineRule="exact"/>
        <w:rPr>
          <w:rFonts w:cs="Calibri" w:asciiTheme="minorEastAsia" w:hAnsiTheme="minorEastAsia"/>
          <w:b/>
          <w:bCs/>
          <w:kern w:val="0"/>
          <w:sz w:val="22"/>
        </w:rPr>
      </w:pPr>
      <w:bookmarkStart w:id="20" w:name="_Toc18303"/>
      <w:r>
        <w:rPr>
          <w:rFonts w:cs="Calibri" w:asciiTheme="minorEastAsia" w:hAnsiTheme="minorEastAsia"/>
          <w:b/>
          <w:bCs/>
          <w:kern w:val="0"/>
          <w:sz w:val="22"/>
        </w:rPr>
        <w:t>2.3 招标文件的修改</w:t>
      </w:r>
      <w:bookmarkEnd w:id="20"/>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kern w:val="0"/>
          <w:sz w:val="22"/>
        </w:rPr>
        <w:t>2.3.1</w:t>
      </w:r>
      <w:r>
        <w:rPr>
          <w:rFonts w:hint="eastAsia" w:cs="Calibri" w:asciiTheme="minorEastAsia" w:hAnsiTheme="minorEastAsia"/>
          <w:kern w:val="0"/>
          <w:sz w:val="22"/>
        </w:rPr>
        <w:t>招标人可主动地或在解答投标人提出的澄清问题时对招标文件进行修改，对招标文件的修改将以补充公告的形式发布，所有获得招标文件的投标人应自行关注网站公告，招标人不再一一通知。投标人因自身贻误行为导致投标失败的，责任自负。</w:t>
      </w:r>
    </w:p>
    <w:p>
      <w:pPr>
        <w:adjustRightInd w:val="0"/>
        <w:snapToGrid w:val="0"/>
        <w:spacing w:line="360" w:lineRule="exact"/>
        <w:ind w:firstLine="440"/>
        <w:rPr>
          <w:rFonts w:ascii="宋体" w:hAnsi="宋体" w:cs="Calibri"/>
          <w:sz w:val="22"/>
        </w:rPr>
      </w:pPr>
      <w:r>
        <w:rPr>
          <w:rFonts w:cs="Calibri" w:asciiTheme="minorEastAsia" w:hAnsiTheme="minorEastAsia"/>
          <w:color w:val="000000"/>
          <w:sz w:val="22"/>
        </w:rPr>
        <w:t>2.3.2</w:t>
      </w:r>
      <w:r>
        <w:rPr>
          <w:rFonts w:hint="eastAsia" w:cs="Calibri" w:asciiTheme="minorEastAsia" w:hAnsiTheme="minorEastAsia"/>
          <w:color w:val="000000"/>
          <w:sz w:val="22"/>
        </w:rPr>
        <w:t>招标文件的修改为招标文件的组成部分，对投标人有约束力。</w:t>
      </w:r>
    </w:p>
    <w:p>
      <w:pPr>
        <w:autoSpaceDE w:val="0"/>
        <w:autoSpaceDN w:val="0"/>
        <w:adjustRightInd w:val="0"/>
        <w:snapToGrid w:val="0"/>
        <w:spacing w:line="360" w:lineRule="exact"/>
        <w:rPr>
          <w:rFonts w:ascii="宋体" w:hAnsi="宋体" w:cs="Calibri"/>
          <w:b/>
          <w:bCs/>
          <w:kern w:val="0"/>
          <w:sz w:val="22"/>
        </w:rPr>
      </w:pPr>
      <w:bookmarkStart w:id="21" w:name="_Toc143421658"/>
      <w:bookmarkStart w:id="22" w:name="_Toc18870"/>
      <w:r>
        <w:rPr>
          <w:rFonts w:ascii="宋体" w:hAnsi="宋体" w:cs="Calibri"/>
          <w:b/>
          <w:bCs/>
          <w:kern w:val="0"/>
          <w:sz w:val="22"/>
        </w:rPr>
        <w:t>3.投标文件</w:t>
      </w:r>
      <w:bookmarkEnd w:id="21"/>
      <w:bookmarkEnd w:id="22"/>
    </w:p>
    <w:p>
      <w:pPr>
        <w:autoSpaceDE w:val="0"/>
        <w:autoSpaceDN w:val="0"/>
        <w:adjustRightInd w:val="0"/>
        <w:snapToGrid w:val="0"/>
        <w:spacing w:line="360" w:lineRule="exact"/>
        <w:rPr>
          <w:rFonts w:ascii="宋体" w:hAnsi="宋体" w:cs="Calibri"/>
          <w:b/>
          <w:bCs/>
          <w:kern w:val="0"/>
          <w:sz w:val="22"/>
        </w:rPr>
      </w:pPr>
      <w:bookmarkStart w:id="23" w:name="_Toc461"/>
      <w:r>
        <w:rPr>
          <w:rFonts w:ascii="宋体" w:hAnsi="宋体" w:cs="Calibri"/>
          <w:b/>
          <w:bCs/>
          <w:kern w:val="0"/>
          <w:sz w:val="22"/>
        </w:rPr>
        <w:t>3.1 投标文件的语言和计量单位</w:t>
      </w:r>
      <w:bookmarkEnd w:id="23"/>
    </w:p>
    <w:p>
      <w:pPr>
        <w:adjustRightInd w:val="0"/>
        <w:snapToGrid w:val="0"/>
        <w:spacing w:line="360" w:lineRule="exact"/>
        <w:ind w:firstLine="440"/>
        <w:rPr>
          <w:rFonts w:ascii="宋体" w:hAnsi="宋体" w:cs="Calibri"/>
          <w:kern w:val="0"/>
          <w:sz w:val="22"/>
        </w:rPr>
      </w:pPr>
      <w:r>
        <w:rPr>
          <w:rFonts w:ascii="宋体" w:hAnsi="宋体" w:cs="Calibri"/>
          <w:sz w:val="22"/>
        </w:rPr>
        <w:t>3.1.1投标文件与投标有关的所有文件均应使用中文。</w:t>
      </w:r>
    </w:p>
    <w:p>
      <w:pPr>
        <w:adjustRightInd w:val="0"/>
        <w:snapToGrid w:val="0"/>
        <w:spacing w:line="360" w:lineRule="exact"/>
        <w:ind w:firstLine="440"/>
        <w:rPr>
          <w:rFonts w:ascii="宋体" w:hAnsi="宋体" w:cs="Calibri"/>
          <w:kern w:val="0"/>
          <w:sz w:val="22"/>
        </w:rPr>
      </w:pPr>
      <w:r>
        <w:rPr>
          <w:rFonts w:ascii="宋体" w:hAnsi="宋体" w:cs="Calibri"/>
          <w:kern w:val="0"/>
          <w:sz w:val="22"/>
        </w:rPr>
        <w:t>3.1.2除规范另有规定外，投标文件使用的度量衡单位，均采用中华人民共和国法定计量单位。</w:t>
      </w:r>
    </w:p>
    <w:p>
      <w:pPr>
        <w:adjustRightInd w:val="0"/>
        <w:snapToGrid w:val="0"/>
        <w:spacing w:line="360" w:lineRule="exact"/>
        <w:ind w:firstLine="440"/>
        <w:rPr>
          <w:rFonts w:ascii="宋体" w:hAnsi="宋体" w:cs="Calibri"/>
          <w:kern w:val="0"/>
          <w:sz w:val="22"/>
        </w:rPr>
      </w:pPr>
      <w:r>
        <w:rPr>
          <w:rFonts w:ascii="宋体" w:hAnsi="宋体" w:cs="Calibri"/>
          <w:kern w:val="0"/>
          <w:sz w:val="22"/>
        </w:rPr>
        <w:t>3.1.3招标文件中的“天”除特别说明外，均为日历天。</w:t>
      </w:r>
    </w:p>
    <w:p>
      <w:pPr>
        <w:adjustRightInd w:val="0"/>
        <w:snapToGrid w:val="0"/>
        <w:spacing w:line="360" w:lineRule="exact"/>
        <w:ind w:firstLine="440"/>
        <w:rPr>
          <w:rFonts w:ascii="宋体" w:hAnsi="宋体" w:cs="Calibri"/>
          <w:kern w:val="0"/>
          <w:sz w:val="22"/>
        </w:rPr>
      </w:pPr>
      <w:r>
        <w:rPr>
          <w:rFonts w:ascii="宋体" w:hAnsi="宋体" w:cs="Calibri"/>
          <w:kern w:val="0"/>
          <w:sz w:val="22"/>
        </w:rPr>
        <w:t>3.1.4招标文件中所指的“合同”除特别说明外，指 “</w:t>
      </w:r>
      <w:r>
        <w:rPr>
          <w:rFonts w:hint="eastAsia" w:ascii="宋体" w:hAnsi="宋体" w:cs="Calibri"/>
          <w:kern w:val="0"/>
          <w:sz w:val="22"/>
        </w:rPr>
        <w:t>施工</w:t>
      </w:r>
      <w:r>
        <w:rPr>
          <w:rFonts w:ascii="宋体" w:hAnsi="宋体" w:cs="Calibri"/>
          <w:kern w:val="0"/>
          <w:sz w:val="22"/>
        </w:rPr>
        <w:t>合同”。</w:t>
      </w:r>
    </w:p>
    <w:p>
      <w:pPr>
        <w:autoSpaceDE w:val="0"/>
        <w:autoSpaceDN w:val="0"/>
        <w:adjustRightInd w:val="0"/>
        <w:snapToGrid w:val="0"/>
        <w:spacing w:line="360" w:lineRule="exact"/>
        <w:rPr>
          <w:rFonts w:ascii="宋体" w:hAnsi="宋体" w:cs="Calibri"/>
          <w:b/>
          <w:bCs/>
          <w:kern w:val="0"/>
          <w:sz w:val="22"/>
        </w:rPr>
      </w:pPr>
      <w:bookmarkStart w:id="24" w:name="_Toc1411"/>
      <w:r>
        <w:rPr>
          <w:rFonts w:ascii="宋体" w:hAnsi="宋体" w:cs="Calibri"/>
          <w:b/>
          <w:bCs/>
          <w:kern w:val="0"/>
          <w:sz w:val="22"/>
        </w:rPr>
        <w:t>3.2 投标文件的组成</w:t>
      </w:r>
      <w:bookmarkEnd w:id="24"/>
    </w:p>
    <w:p>
      <w:pPr>
        <w:adjustRightInd w:val="0"/>
        <w:snapToGrid w:val="0"/>
        <w:spacing w:line="360" w:lineRule="exact"/>
        <w:ind w:firstLine="440"/>
        <w:rPr>
          <w:rFonts w:ascii="宋体" w:hAnsi="宋体" w:cs="Calibri"/>
          <w:sz w:val="22"/>
        </w:rPr>
      </w:pPr>
      <w:bookmarkStart w:id="25" w:name="_Toc32225"/>
      <w:r>
        <w:rPr>
          <w:rFonts w:ascii="宋体" w:hAnsi="宋体" w:cs="Calibri"/>
          <w:sz w:val="22"/>
        </w:rPr>
        <w:t>3.2.1投标函；</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3.2.</w:t>
      </w:r>
      <w:r>
        <w:rPr>
          <w:rFonts w:hint="eastAsia" w:cs="Calibri" w:asciiTheme="minorEastAsia" w:hAnsiTheme="minorEastAsia"/>
          <w:color w:val="000000"/>
          <w:sz w:val="22"/>
        </w:rPr>
        <w:t>2</w:t>
      </w:r>
      <w:r>
        <w:rPr>
          <w:rFonts w:cs="Calibri" w:asciiTheme="minorEastAsia" w:hAnsiTheme="minorEastAsia"/>
          <w:color w:val="000000"/>
          <w:sz w:val="22"/>
        </w:rPr>
        <w:t>法定代表人资格证明书；</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3.2.</w:t>
      </w:r>
      <w:r>
        <w:rPr>
          <w:rFonts w:hint="eastAsia" w:cs="Calibri" w:asciiTheme="minorEastAsia" w:hAnsiTheme="minorEastAsia"/>
          <w:color w:val="000000"/>
          <w:sz w:val="22"/>
        </w:rPr>
        <w:t>3</w:t>
      </w:r>
      <w:r>
        <w:rPr>
          <w:rFonts w:cs="Calibri" w:asciiTheme="minorEastAsia" w:hAnsiTheme="minorEastAsia"/>
          <w:color w:val="000000"/>
          <w:sz w:val="22"/>
        </w:rPr>
        <w:t>授权委托书；</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3.2.</w:t>
      </w:r>
      <w:r>
        <w:rPr>
          <w:rFonts w:hint="eastAsia" w:cs="Calibri" w:asciiTheme="minorEastAsia" w:hAnsiTheme="minorEastAsia"/>
          <w:color w:val="000000"/>
          <w:sz w:val="22"/>
        </w:rPr>
        <w:t>4已标价工程量清单</w:t>
      </w:r>
      <w:r>
        <w:rPr>
          <w:rFonts w:cs="Calibri" w:asciiTheme="minorEastAsia" w:hAnsiTheme="minorEastAsia"/>
          <w:color w:val="000000"/>
          <w:sz w:val="22"/>
        </w:rPr>
        <w:t>；</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3.2.5</w:t>
      </w:r>
      <w:r>
        <w:rPr>
          <w:rFonts w:hint="eastAsia" w:cs="Calibri" w:asciiTheme="minorEastAsia" w:hAnsiTheme="minorEastAsia"/>
          <w:color w:val="000000"/>
          <w:sz w:val="22"/>
        </w:rPr>
        <w:t>施工组织设计；</w:t>
      </w:r>
    </w:p>
    <w:p>
      <w:pPr>
        <w:adjustRightInd w:val="0"/>
        <w:snapToGrid w:val="0"/>
        <w:spacing w:line="360" w:lineRule="exact"/>
        <w:ind w:firstLine="440"/>
        <w:rPr>
          <w:rFonts w:cs="Calibri" w:asciiTheme="minorEastAsia" w:hAnsiTheme="minorEastAsia"/>
          <w:color w:val="000000"/>
          <w:sz w:val="22"/>
        </w:rPr>
      </w:pPr>
      <w:r>
        <w:rPr>
          <w:rFonts w:hint="eastAsia" w:cs="Calibri" w:asciiTheme="minorEastAsia" w:hAnsiTheme="minorEastAsia"/>
          <w:color w:val="000000"/>
          <w:sz w:val="22"/>
        </w:rPr>
        <w:t>3.2.6 项目管理机构</w:t>
      </w:r>
    </w:p>
    <w:p>
      <w:pPr>
        <w:adjustRightInd w:val="0"/>
        <w:snapToGrid w:val="0"/>
        <w:spacing w:line="360" w:lineRule="exact"/>
        <w:ind w:firstLine="440"/>
        <w:rPr>
          <w:rFonts w:cs="Calibri" w:asciiTheme="minorEastAsia" w:hAnsiTheme="minorEastAsia"/>
          <w:color w:val="000000"/>
          <w:sz w:val="22"/>
        </w:rPr>
      </w:pPr>
      <w:r>
        <w:rPr>
          <w:rFonts w:hint="eastAsia" w:cs="Calibri" w:asciiTheme="minorEastAsia" w:hAnsiTheme="minorEastAsia"/>
          <w:color w:val="000000"/>
          <w:sz w:val="22"/>
        </w:rPr>
        <w:t>3.2.7 资格审查资料：包括投标人有效的营业执照、资质证书、安全生产许可证及三类人员证书、业绩证明材料等复印件，拟派项目经理职称证书、执业（或注册）证书复印件。</w:t>
      </w:r>
    </w:p>
    <w:p>
      <w:pPr>
        <w:adjustRightInd w:val="0"/>
        <w:snapToGrid w:val="0"/>
        <w:spacing w:line="360" w:lineRule="exact"/>
        <w:ind w:firstLine="440"/>
        <w:rPr>
          <w:rFonts w:ascii="宋体" w:hAnsi="宋体" w:cs="宋体"/>
          <w:sz w:val="22"/>
        </w:rPr>
      </w:pPr>
      <w:r>
        <w:rPr>
          <w:rFonts w:hint="eastAsia" w:ascii="宋体" w:hAnsi="宋体" w:cs="宋体"/>
          <w:sz w:val="22"/>
        </w:rPr>
        <w:t>3.2.8</w:t>
      </w:r>
      <w:r>
        <w:rPr>
          <w:rFonts w:hint="eastAsia" w:cs="Arial" w:asciiTheme="minorEastAsia" w:hAnsiTheme="minorEastAsia"/>
          <w:color w:val="000000"/>
          <w:sz w:val="22"/>
        </w:rPr>
        <w:t>投标人认为</w:t>
      </w:r>
      <w:r>
        <w:rPr>
          <w:rFonts w:cs="Arial" w:asciiTheme="minorEastAsia" w:hAnsiTheme="minorEastAsia"/>
          <w:color w:val="000000"/>
          <w:sz w:val="22"/>
        </w:rPr>
        <w:t>应该提供的其他材料</w:t>
      </w:r>
      <w:r>
        <w:rPr>
          <w:rFonts w:hint="eastAsia" w:ascii="宋体" w:hAnsi="宋体" w:cs="宋体"/>
          <w:sz w:val="22"/>
        </w:rPr>
        <w:t>。</w:t>
      </w:r>
    </w:p>
    <w:p>
      <w:pPr>
        <w:autoSpaceDE w:val="0"/>
        <w:autoSpaceDN w:val="0"/>
        <w:adjustRightInd w:val="0"/>
        <w:snapToGrid w:val="0"/>
        <w:spacing w:line="360" w:lineRule="exact"/>
        <w:rPr>
          <w:rFonts w:ascii="宋体" w:hAnsi="宋体" w:cs="Calibri"/>
          <w:b/>
          <w:bCs/>
          <w:kern w:val="0"/>
          <w:sz w:val="22"/>
        </w:rPr>
      </w:pPr>
      <w:r>
        <w:rPr>
          <w:rFonts w:ascii="宋体" w:hAnsi="宋体" w:cs="Calibri"/>
          <w:b/>
          <w:bCs/>
          <w:kern w:val="0"/>
          <w:sz w:val="22"/>
        </w:rPr>
        <w:t>3.3 投标报价</w:t>
      </w:r>
      <w:bookmarkEnd w:id="25"/>
    </w:p>
    <w:p>
      <w:pPr>
        <w:adjustRightInd w:val="0"/>
        <w:snapToGrid w:val="0"/>
        <w:spacing w:line="360" w:lineRule="exact"/>
        <w:ind w:firstLine="440"/>
        <w:rPr>
          <w:rFonts w:ascii="宋体" w:hAnsi="宋体" w:cs="宋体"/>
          <w:sz w:val="22"/>
        </w:rPr>
      </w:pPr>
      <w:bookmarkStart w:id="26" w:name="_Toc13307"/>
      <w:r>
        <w:rPr>
          <w:rFonts w:hint="eastAsia" w:ascii="宋体" w:hAnsi="宋体" w:cs="宋体"/>
          <w:sz w:val="22"/>
        </w:rPr>
        <w:t>3.3.1投标人应按第六章“投标文件格式”的要求填写相应表格并报价。</w:t>
      </w:r>
    </w:p>
    <w:p>
      <w:pPr>
        <w:adjustRightInd w:val="0"/>
        <w:snapToGrid w:val="0"/>
        <w:spacing w:line="360" w:lineRule="exact"/>
        <w:ind w:firstLine="440"/>
        <w:rPr>
          <w:rFonts w:ascii="宋体" w:hAnsi="宋体" w:cs="宋体"/>
          <w:sz w:val="22"/>
        </w:rPr>
      </w:pPr>
      <w:r>
        <w:rPr>
          <w:rFonts w:hint="eastAsia" w:ascii="宋体" w:hAnsi="宋体" w:cs="宋体"/>
          <w:sz w:val="22"/>
        </w:rPr>
        <w:t>3.3.2本工程各项取费标准及相关调整系数，根据《浙江省建设工程施工取费定额》（2010版）及浙江省现行的相关文件规定，请投标人在投标报价中，按照上述文件精神执行。</w:t>
      </w:r>
    </w:p>
    <w:p>
      <w:pPr>
        <w:adjustRightInd w:val="0"/>
        <w:snapToGrid w:val="0"/>
        <w:spacing w:line="360" w:lineRule="exact"/>
        <w:ind w:firstLine="440"/>
        <w:rPr>
          <w:rFonts w:ascii="宋体" w:hAnsi="宋体" w:cs="宋体"/>
          <w:b/>
          <w:sz w:val="22"/>
        </w:rPr>
      </w:pPr>
      <w:r>
        <w:rPr>
          <w:rFonts w:hint="eastAsia" w:ascii="宋体" w:hAnsi="宋体" w:cs="宋体"/>
          <w:sz w:val="22"/>
        </w:rPr>
        <w:t>3.3.3招标文件提供的工程量清单为参考清单，投标人根据招标文件要求和参考清单自行编制投标报价。</w:t>
      </w:r>
    </w:p>
    <w:p>
      <w:pPr>
        <w:adjustRightInd w:val="0"/>
        <w:snapToGrid w:val="0"/>
        <w:spacing w:line="360" w:lineRule="exact"/>
        <w:ind w:firstLine="440"/>
        <w:rPr>
          <w:rFonts w:ascii="宋体" w:hAnsi="宋体" w:cs="宋体"/>
          <w:sz w:val="22"/>
        </w:rPr>
      </w:pPr>
      <w:r>
        <w:rPr>
          <w:rFonts w:hint="eastAsia" w:ascii="宋体" w:hAnsi="宋体" w:cs="宋体"/>
          <w:sz w:val="22"/>
        </w:rPr>
        <w:t>3.3.4</w:t>
      </w:r>
      <w:r>
        <w:rPr>
          <w:rFonts w:hint="eastAsia" w:ascii="宋体" w:hAnsi="宋体" w:cs="宋体"/>
          <w:b/>
          <w:sz w:val="22"/>
        </w:rPr>
        <w:t>本工程为固定总价合同（计日工除外）</w:t>
      </w:r>
      <w:r>
        <w:rPr>
          <w:rFonts w:hint="eastAsia" w:ascii="宋体" w:hAnsi="宋体" w:cs="宋体"/>
          <w:sz w:val="22"/>
        </w:rPr>
        <w:t>。本项目投标人应充分考虑施工现场的实际情况、市场风险及自身承受能力进行报价。投标人根据本工程特点及施工技术规范、施工工艺要求，组织并测算为完成本项目所必须采取的工艺及措施，在分部分项工程量清单、措施项目清单、其他项目清单中进行报价。投标人对上述内容的漏报或者少报，视作对本工程的优惠。一旦中标，总价包干。在项目实施过程中，发包人不对承包人提出的任何工程量清单、价格变更要求进行总价调整，投标报价即为结算价。</w:t>
      </w:r>
    </w:p>
    <w:p>
      <w:pPr>
        <w:adjustRightInd w:val="0"/>
        <w:snapToGrid w:val="0"/>
        <w:spacing w:line="360" w:lineRule="exact"/>
        <w:ind w:firstLine="440"/>
        <w:rPr>
          <w:rFonts w:ascii="宋体" w:hAnsi="宋体" w:cs="宋体"/>
          <w:sz w:val="22"/>
        </w:rPr>
      </w:pPr>
      <w:r>
        <w:rPr>
          <w:rFonts w:hint="eastAsia" w:ascii="宋体" w:hAnsi="宋体" w:cs="宋体"/>
          <w:sz w:val="22"/>
        </w:rPr>
        <w:t>3.3.5投标报价中应包含国家有关部门和地方政府规定交纳的“规费”，其包括工程排污费、社会保障费、住房公积金、危险作业意外伤害保险；农民工工伤保险等。</w:t>
      </w:r>
    </w:p>
    <w:p>
      <w:pPr>
        <w:adjustRightInd w:val="0"/>
        <w:snapToGrid w:val="0"/>
        <w:spacing w:line="360" w:lineRule="exact"/>
        <w:ind w:firstLine="440"/>
        <w:rPr>
          <w:rFonts w:ascii="宋体" w:hAnsi="宋体" w:cs="宋体"/>
          <w:sz w:val="22"/>
        </w:rPr>
      </w:pPr>
      <w:r>
        <w:rPr>
          <w:rFonts w:hint="eastAsia" w:ascii="宋体" w:hAnsi="宋体" w:cs="宋体"/>
          <w:sz w:val="22"/>
        </w:rPr>
        <w:t xml:space="preserve">3.3.6 </w:t>
      </w:r>
      <w:r>
        <w:rPr>
          <w:rFonts w:hint="eastAsia" w:ascii="宋体" w:hAnsi="宋体" w:cs="宋体"/>
          <w:b/>
          <w:sz w:val="22"/>
        </w:rPr>
        <w:t>计日工单价最高限价150元/工日。</w:t>
      </w:r>
    </w:p>
    <w:p>
      <w:pPr>
        <w:adjustRightInd w:val="0"/>
        <w:snapToGrid w:val="0"/>
        <w:spacing w:line="360" w:lineRule="exact"/>
        <w:ind w:firstLine="440"/>
        <w:rPr>
          <w:rFonts w:ascii="宋体" w:hAnsi="宋体" w:cs="宋体"/>
          <w:sz w:val="22"/>
        </w:rPr>
      </w:pPr>
      <w:r>
        <w:rPr>
          <w:rFonts w:hint="eastAsia" w:ascii="宋体" w:hAnsi="宋体" w:cs="宋体"/>
          <w:sz w:val="22"/>
        </w:rPr>
        <w:t>3.3.7工程量清单中的报价，均应以人民币元为单位，最终以人民币办理结算。</w:t>
      </w:r>
    </w:p>
    <w:p>
      <w:pPr>
        <w:adjustRightInd w:val="0"/>
        <w:snapToGrid w:val="0"/>
        <w:spacing w:line="360" w:lineRule="exact"/>
        <w:ind w:firstLine="440"/>
        <w:rPr>
          <w:rFonts w:ascii="宋体" w:hAnsi="宋体" w:cs="宋体"/>
          <w:sz w:val="22"/>
        </w:rPr>
      </w:pPr>
      <w:r>
        <w:rPr>
          <w:rFonts w:hint="eastAsia" w:ascii="宋体" w:hAnsi="宋体" w:cs="宋体"/>
          <w:sz w:val="22"/>
        </w:rPr>
        <w:t>3.3.8投标人应充分考虑以下各项风险因素可能导致发生或增加的费用，并计入投标报价中，不报视作优惠：</w:t>
      </w:r>
    </w:p>
    <w:p>
      <w:pPr>
        <w:adjustRightInd w:val="0"/>
        <w:snapToGrid w:val="0"/>
        <w:spacing w:line="360" w:lineRule="exact"/>
        <w:ind w:firstLine="440"/>
        <w:rPr>
          <w:rFonts w:ascii="宋体" w:hAnsi="宋体" w:cs="宋体"/>
          <w:sz w:val="22"/>
        </w:rPr>
      </w:pPr>
      <w:r>
        <w:rPr>
          <w:rFonts w:ascii="宋体" w:hAnsi="宋体" w:cs="宋体"/>
          <w:sz w:val="22"/>
        </w:rPr>
        <w:t>a</w:t>
      </w:r>
      <w:r>
        <w:rPr>
          <w:rFonts w:hint="eastAsia" w:ascii="宋体" w:hAnsi="宋体" w:cs="宋体"/>
          <w:sz w:val="22"/>
        </w:rPr>
        <w:t>、</w:t>
      </w:r>
      <w:r>
        <w:rPr>
          <w:rFonts w:hint="eastAsia" w:ascii="宋体" w:hAnsi="宋体" w:cs="宋体"/>
          <w:sz w:val="22"/>
          <w:u w:val="single"/>
        </w:rPr>
        <w:t xml:space="preserve">                          </w:t>
      </w:r>
      <w:r>
        <w:rPr>
          <w:rFonts w:hint="eastAsia" w:ascii="宋体" w:hAnsi="宋体" w:cs="宋体"/>
          <w:sz w:val="22"/>
        </w:rPr>
        <w:t>；</w:t>
      </w:r>
    </w:p>
    <w:p>
      <w:pPr>
        <w:autoSpaceDE w:val="0"/>
        <w:autoSpaceDN w:val="0"/>
        <w:adjustRightInd w:val="0"/>
        <w:snapToGrid w:val="0"/>
        <w:spacing w:line="360" w:lineRule="exact"/>
        <w:rPr>
          <w:rFonts w:ascii="宋体" w:hAnsi="宋体" w:cs="Calibri"/>
          <w:b/>
          <w:bCs/>
          <w:kern w:val="0"/>
          <w:sz w:val="22"/>
        </w:rPr>
      </w:pPr>
      <w:r>
        <w:rPr>
          <w:rFonts w:ascii="宋体" w:hAnsi="宋体" w:cs="Calibri"/>
          <w:b/>
          <w:bCs/>
          <w:kern w:val="0"/>
          <w:sz w:val="22"/>
        </w:rPr>
        <w:t>3.4 投标有效期</w:t>
      </w:r>
      <w:bookmarkEnd w:id="26"/>
    </w:p>
    <w:p>
      <w:pPr>
        <w:adjustRightInd w:val="0"/>
        <w:snapToGrid w:val="0"/>
        <w:spacing w:line="360" w:lineRule="exact"/>
        <w:ind w:firstLine="440"/>
        <w:rPr>
          <w:rFonts w:ascii="宋体" w:hAnsi="宋体" w:cs="Calibri"/>
          <w:kern w:val="0"/>
          <w:sz w:val="22"/>
        </w:rPr>
      </w:pPr>
      <w:r>
        <w:rPr>
          <w:rFonts w:ascii="宋体" w:hAnsi="宋体" w:cs="Calibri"/>
          <w:kern w:val="0"/>
          <w:sz w:val="22"/>
        </w:rPr>
        <w:t>3.4.1在投标人须知前附表规定的投标有效期内，投标人不得要求撤销和修改其投标文件。</w:t>
      </w:r>
    </w:p>
    <w:p>
      <w:pPr>
        <w:adjustRightInd w:val="0"/>
        <w:snapToGrid w:val="0"/>
        <w:spacing w:line="360" w:lineRule="exact"/>
        <w:ind w:firstLine="440"/>
        <w:rPr>
          <w:rFonts w:ascii="宋体" w:hAnsi="宋体" w:cs="Calibri"/>
          <w:kern w:val="0"/>
          <w:sz w:val="22"/>
        </w:rPr>
      </w:pPr>
      <w:r>
        <w:rPr>
          <w:rFonts w:ascii="宋体" w:hAnsi="宋体" w:cs="Calibri"/>
          <w:kern w:val="0"/>
          <w:sz w:val="22"/>
        </w:rPr>
        <w:t>3.4.2出现特殊情况需要延长投标有效期的，招标人以书面形式通知所有投标人延长投标有效期。投标人同意延长的，应相应延长其投标保证金有效期，但不要求或被允许修改或撤销其投标文件；投标人拒绝延长的，其投标失效，但投标人有权收回其投标保证金。</w:t>
      </w:r>
    </w:p>
    <w:p>
      <w:pPr>
        <w:autoSpaceDE w:val="0"/>
        <w:autoSpaceDN w:val="0"/>
        <w:adjustRightInd w:val="0"/>
        <w:snapToGrid w:val="0"/>
        <w:spacing w:line="360" w:lineRule="exact"/>
        <w:rPr>
          <w:rFonts w:ascii="宋体" w:hAnsi="宋体" w:cs="Calibri"/>
          <w:b/>
          <w:bCs/>
          <w:kern w:val="0"/>
          <w:sz w:val="22"/>
        </w:rPr>
      </w:pPr>
      <w:bookmarkStart w:id="27" w:name="_Toc30464"/>
      <w:r>
        <w:rPr>
          <w:rFonts w:ascii="宋体" w:hAnsi="宋体" w:cs="Calibri"/>
          <w:b/>
          <w:bCs/>
          <w:kern w:val="0"/>
          <w:sz w:val="22"/>
        </w:rPr>
        <w:t>3.5 投标保证金</w:t>
      </w:r>
      <w:bookmarkEnd w:id="27"/>
      <w:r>
        <w:rPr>
          <w:rFonts w:hint="eastAsia" w:ascii="宋体" w:hAnsi="宋体" w:cs="Calibri"/>
          <w:b/>
          <w:bCs/>
          <w:kern w:val="0"/>
          <w:sz w:val="22"/>
        </w:rPr>
        <w:t>（如有）</w:t>
      </w:r>
    </w:p>
    <w:p>
      <w:pPr>
        <w:adjustRightInd w:val="0"/>
        <w:snapToGrid w:val="0"/>
        <w:spacing w:line="360" w:lineRule="exact"/>
        <w:ind w:firstLine="440"/>
        <w:rPr>
          <w:rFonts w:ascii="宋体" w:hAnsi="宋体" w:cs="Calibri"/>
          <w:kern w:val="0"/>
          <w:sz w:val="22"/>
        </w:rPr>
      </w:pPr>
      <w:r>
        <w:rPr>
          <w:rFonts w:ascii="宋体" w:hAnsi="宋体" w:cs="Calibri"/>
          <w:kern w:val="0"/>
          <w:sz w:val="22"/>
        </w:rPr>
        <w:t>3.5.1投标人在递交投标文件的同时，应按投标人须知前附表规定的金额、担保形式和第</w:t>
      </w:r>
      <w:r>
        <w:rPr>
          <w:rFonts w:hint="eastAsia" w:ascii="宋体" w:hAnsi="宋体" w:cs="Calibri"/>
          <w:kern w:val="0"/>
          <w:sz w:val="22"/>
        </w:rPr>
        <w:t>六</w:t>
      </w:r>
      <w:r>
        <w:rPr>
          <w:rFonts w:ascii="宋体" w:hAnsi="宋体" w:cs="Calibri"/>
          <w:kern w:val="0"/>
          <w:sz w:val="22"/>
        </w:rPr>
        <w:t>章</w:t>
      </w:r>
      <w:r>
        <w:rPr>
          <w:rFonts w:ascii="宋体" w:hAnsi="宋体" w:cs="Calibri"/>
          <w:sz w:val="22"/>
        </w:rPr>
        <w:t>“投标文件格式”</w:t>
      </w:r>
      <w:r>
        <w:rPr>
          <w:rFonts w:ascii="宋体" w:hAnsi="宋体" w:cs="Calibri"/>
          <w:kern w:val="0"/>
          <w:sz w:val="22"/>
        </w:rPr>
        <w:t>规定的投标保证金格式递交投标保证金，并作为其投标文件的组成部分。否则，视为投标人自动放弃投标资格。</w:t>
      </w:r>
    </w:p>
    <w:p>
      <w:pPr>
        <w:adjustRightInd w:val="0"/>
        <w:snapToGrid w:val="0"/>
        <w:spacing w:line="360" w:lineRule="exact"/>
        <w:ind w:firstLine="440"/>
        <w:rPr>
          <w:rFonts w:ascii="宋体" w:hAnsi="宋体" w:cs="Calibri"/>
          <w:kern w:val="0"/>
          <w:sz w:val="22"/>
        </w:rPr>
      </w:pPr>
      <w:r>
        <w:rPr>
          <w:rFonts w:ascii="宋体" w:hAnsi="宋体" w:cs="Calibri"/>
          <w:kern w:val="0"/>
          <w:sz w:val="22"/>
        </w:rPr>
        <w:t>3.5.2</w:t>
      </w:r>
      <w:r>
        <w:rPr>
          <w:rFonts w:hint="eastAsia" w:ascii="宋体" w:hAnsi="宋体" w:cs="Calibri"/>
          <w:kern w:val="0"/>
          <w:sz w:val="22"/>
        </w:rPr>
        <w:t>中标人的投标保证金，将在与招标人签订合同后10个工作日内无息退还（以银行转账方式）；未中标的投标保证金，将在中标公示结束后15个工作日后无息退还（以银行转账形式）。办理退保证金手续时需向招标人提供投标人开具的投标保证金收据，并同时提供书面的退款账户详细信息（包含所投标段名称、户名、开户行、账号），快递方式送达投标地址。</w:t>
      </w:r>
    </w:p>
    <w:p>
      <w:pPr>
        <w:adjustRightInd w:val="0"/>
        <w:snapToGrid w:val="0"/>
        <w:spacing w:line="360" w:lineRule="exact"/>
        <w:ind w:firstLine="440"/>
        <w:rPr>
          <w:rFonts w:ascii="宋体" w:hAnsi="宋体" w:cs="Calibri"/>
          <w:kern w:val="0"/>
          <w:sz w:val="22"/>
        </w:rPr>
      </w:pPr>
      <w:r>
        <w:rPr>
          <w:rFonts w:ascii="宋体" w:hAnsi="宋体" w:cs="Calibri"/>
          <w:kern w:val="0"/>
          <w:sz w:val="22"/>
        </w:rPr>
        <w:t>3.5.3投标人如有下列情形之一的，投标保证金将不予退还：</w:t>
      </w:r>
    </w:p>
    <w:p>
      <w:pPr>
        <w:adjustRightInd w:val="0"/>
        <w:snapToGrid w:val="0"/>
        <w:spacing w:line="360" w:lineRule="exact"/>
        <w:ind w:firstLine="440"/>
        <w:rPr>
          <w:rFonts w:ascii="宋体" w:hAnsi="宋体" w:cs="Calibri"/>
          <w:kern w:val="0"/>
          <w:sz w:val="22"/>
        </w:rPr>
      </w:pPr>
      <w:r>
        <w:rPr>
          <w:rFonts w:ascii="宋体" w:hAnsi="宋体" w:cs="Calibri"/>
          <w:kern w:val="0"/>
          <w:sz w:val="22"/>
        </w:rPr>
        <w:t>（1）投标人在规定的投标有效期内撤销或修改其投标文件；</w:t>
      </w:r>
    </w:p>
    <w:p>
      <w:pPr>
        <w:adjustRightInd w:val="0"/>
        <w:snapToGrid w:val="0"/>
        <w:spacing w:line="360" w:lineRule="exact"/>
        <w:ind w:firstLine="440"/>
        <w:rPr>
          <w:rFonts w:ascii="宋体" w:hAnsi="宋体" w:cs="Calibri"/>
          <w:sz w:val="22"/>
        </w:rPr>
      </w:pPr>
      <w:r>
        <w:rPr>
          <w:rFonts w:ascii="宋体" w:hAnsi="宋体" w:cs="Calibri"/>
          <w:kern w:val="0"/>
          <w:sz w:val="22"/>
        </w:rPr>
        <w:t>（2）</w:t>
      </w:r>
      <w:r>
        <w:rPr>
          <w:rFonts w:cs="Calibri" w:asciiTheme="minorEastAsia" w:hAnsiTheme="minorEastAsia"/>
          <w:color w:val="000000"/>
          <w:kern w:val="0"/>
          <w:sz w:val="22"/>
        </w:rPr>
        <w:t>中标人在收到中标通知书后，</w:t>
      </w:r>
      <w:r>
        <w:rPr>
          <w:rFonts w:cs="Calibri" w:asciiTheme="minorEastAsia" w:hAnsiTheme="minorEastAsia"/>
          <w:color w:val="000000"/>
          <w:sz w:val="22"/>
        </w:rPr>
        <w:t>无正当理由拒签合同协议书或未按招标文件规定提交履约担保，或因投标人在投标文件中未如实填报或隐瞒不报投标人的行贿犯罪记录导致取消中标资格的</w:t>
      </w:r>
      <w:r>
        <w:rPr>
          <w:rFonts w:ascii="宋体" w:hAnsi="宋体" w:cs="Calibri"/>
          <w:sz w:val="22"/>
        </w:rPr>
        <w:t>；</w:t>
      </w:r>
    </w:p>
    <w:p>
      <w:pPr>
        <w:adjustRightInd w:val="0"/>
        <w:snapToGrid w:val="0"/>
        <w:spacing w:line="360" w:lineRule="exact"/>
        <w:ind w:firstLine="440"/>
        <w:rPr>
          <w:rFonts w:ascii="宋体" w:hAnsi="宋体" w:cs="Calibri"/>
          <w:kern w:val="0"/>
          <w:sz w:val="22"/>
        </w:rPr>
      </w:pPr>
      <w:r>
        <w:rPr>
          <w:rFonts w:ascii="宋体" w:hAnsi="宋体" w:cs="Calibri"/>
          <w:kern w:val="0"/>
          <w:sz w:val="22"/>
        </w:rPr>
        <w:t>（</w:t>
      </w:r>
      <w:r>
        <w:rPr>
          <w:rFonts w:hint="eastAsia" w:ascii="宋体" w:hAnsi="宋体" w:cs="Calibri"/>
          <w:kern w:val="0"/>
          <w:sz w:val="22"/>
        </w:rPr>
        <w:t>3</w:t>
      </w:r>
      <w:r>
        <w:rPr>
          <w:rFonts w:ascii="宋体" w:hAnsi="宋体" w:cs="Calibri"/>
          <w:kern w:val="0"/>
          <w:sz w:val="22"/>
        </w:rPr>
        <w:t>）第一中标候选人因不可抗力之外的原因放弃中标权的，必须按招标文件的规定没收其投标保证金。没收的投标保证金不能弥补由于其放弃中标权而给招标人造成中标价的差额损失的，由放弃中标权的中标候选人承担。</w:t>
      </w:r>
    </w:p>
    <w:p>
      <w:pPr>
        <w:autoSpaceDE w:val="0"/>
        <w:autoSpaceDN w:val="0"/>
        <w:adjustRightInd w:val="0"/>
        <w:snapToGrid w:val="0"/>
        <w:spacing w:line="360" w:lineRule="exact"/>
        <w:rPr>
          <w:rFonts w:ascii="宋体" w:hAnsi="宋体" w:cs="Calibri"/>
          <w:b/>
          <w:bCs/>
          <w:kern w:val="0"/>
          <w:sz w:val="22"/>
        </w:rPr>
      </w:pPr>
      <w:bookmarkStart w:id="28" w:name="_Toc29989"/>
      <w:r>
        <w:rPr>
          <w:rFonts w:ascii="宋体" w:hAnsi="宋体" w:cs="Calibri"/>
          <w:b/>
          <w:bCs/>
          <w:kern w:val="0"/>
          <w:sz w:val="22"/>
        </w:rPr>
        <w:t>3.6 投标文件的编制</w:t>
      </w:r>
      <w:bookmarkEnd w:id="28"/>
    </w:p>
    <w:p>
      <w:pPr>
        <w:adjustRightInd w:val="0"/>
        <w:snapToGrid w:val="0"/>
        <w:spacing w:line="360" w:lineRule="exact"/>
        <w:ind w:firstLine="440"/>
        <w:rPr>
          <w:rFonts w:ascii="宋体" w:hAnsi="宋体" w:cs="Calibri"/>
          <w:sz w:val="22"/>
        </w:rPr>
      </w:pPr>
      <w:r>
        <w:rPr>
          <w:rFonts w:ascii="宋体" w:hAnsi="宋体" w:cs="Calibri"/>
          <w:sz w:val="22"/>
        </w:rPr>
        <w:t>3.6.1 投标文件应按本须知第3.2款规定的内容和第</w:t>
      </w:r>
      <w:r>
        <w:rPr>
          <w:rFonts w:hint="eastAsia" w:ascii="宋体" w:hAnsi="宋体" w:cs="Calibri"/>
          <w:sz w:val="22"/>
        </w:rPr>
        <w:t>六</w:t>
      </w:r>
      <w:r>
        <w:rPr>
          <w:rFonts w:ascii="宋体" w:hAnsi="宋体" w:cs="Calibri"/>
          <w:sz w:val="22"/>
        </w:rPr>
        <w:t>章“投标文件格式”进行编写，如有必要，可以增加附页，作为投标文件的组成部分，“投标文件格式”中没有规定的可自行编制格式。其中，工期在满足招标文件实质性要求的基础上，可以提出比招标文件要求更有利于招标人的承诺。</w:t>
      </w:r>
    </w:p>
    <w:p>
      <w:pPr>
        <w:adjustRightInd w:val="0"/>
        <w:snapToGrid w:val="0"/>
        <w:spacing w:line="360" w:lineRule="exact"/>
        <w:ind w:firstLine="440"/>
        <w:rPr>
          <w:rFonts w:ascii="宋体" w:hAnsi="宋体" w:cs="Calibri"/>
          <w:kern w:val="0"/>
          <w:sz w:val="22"/>
        </w:rPr>
      </w:pPr>
      <w:r>
        <w:rPr>
          <w:rFonts w:ascii="宋体" w:hAnsi="宋体" w:cs="Calibri"/>
          <w:sz w:val="22"/>
        </w:rPr>
        <w:t xml:space="preserve">3.6.2 </w:t>
      </w:r>
      <w:r>
        <w:rPr>
          <w:rFonts w:ascii="宋体" w:hAnsi="宋体" w:cs="Calibri"/>
          <w:kern w:val="0"/>
          <w:sz w:val="22"/>
        </w:rPr>
        <w:t>投标文件应对招标文件有关工期、投标有效期、招标</w:t>
      </w:r>
      <w:r>
        <w:rPr>
          <w:rFonts w:hint="eastAsia" w:ascii="宋体" w:hAnsi="宋体" w:cs="Calibri"/>
          <w:kern w:val="0"/>
          <w:sz w:val="22"/>
        </w:rPr>
        <w:t>内容</w:t>
      </w:r>
      <w:r>
        <w:rPr>
          <w:rFonts w:ascii="宋体" w:hAnsi="宋体" w:cs="Calibri"/>
          <w:kern w:val="0"/>
          <w:sz w:val="22"/>
        </w:rPr>
        <w:t>等实质性内容作出响应。</w:t>
      </w:r>
    </w:p>
    <w:p>
      <w:pPr>
        <w:adjustRightInd w:val="0"/>
        <w:snapToGrid w:val="0"/>
        <w:spacing w:line="360" w:lineRule="exact"/>
        <w:ind w:firstLine="440"/>
        <w:rPr>
          <w:rFonts w:ascii="宋体" w:hAnsi="宋体" w:cs="Calibri"/>
          <w:sz w:val="22"/>
        </w:rPr>
      </w:pPr>
      <w:r>
        <w:rPr>
          <w:rFonts w:ascii="宋体" w:hAnsi="宋体" w:cs="Calibri"/>
          <w:sz w:val="22"/>
        </w:rPr>
        <w:t>3.6.3 投标文件应用不褪色的材料书写、打印或复印，并由投标人的法定代表人或其委托代理人签字或盖章。委托代理人签字的，投标文件应附法定代表人签署的授权委托书。投标文件应尽量避免涂改、行间插字或删除。如果出现上述情况，改动之处应加盖单位公章或由投标人的法定代表人签字或其委托代理人签字。</w:t>
      </w:r>
      <w:r>
        <w:rPr>
          <w:rFonts w:ascii="宋体" w:hAnsi="宋体" w:cs="Calibri"/>
          <w:kern w:val="0"/>
          <w:sz w:val="22"/>
        </w:rPr>
        <w:t>签字或盖章的具体要求见投标人须知前附表。</w:t>
      </w:r>
    </w:p>
    <w:p>
      <w:pPr>
        <w:adjustRightInd w:val="0"/>
        <w:snapToGrid w:val="0"/>
        <w:spacing w:line="360" w:lineRule="exact"/>
        <w:ind w:firstLine="440"/>
        <w:rPr>
          <w:rFonts w:ascii="宋体" w:hAnsi="宋体" w:cs="Calibri"/>
          <w:sz w:val="22"/>
        </w:rPr>
      </w:pPr>
      <w:r>
        <w:rPr>
          <w:rFonts w:ascii="宋体" w:hAnsi="宋体" w:cs="Calibri"/>
          <w:sz w:val="22"/>
        </w:rPr>
        <w:t>3.6.4投标文件正本一份， 副本份数见投标人须知前附表。正本、副本的封面上应清楚地标记</w:t>
      </w:r>
      <w:r>
        <w:rPr>
          <w:rFonts w:ascii="宋体" w:hAnsi="宋体" w:cs="Calibri"/>
          <w:b/>
          <w:bCs/>
          <w:sz w:val="22"/>
        </w:rPr>
        <w:t>“正本</w:t>
      </w:r>
      <w:r>
        <w:rPr>
          <w:rFonts w:ascii="宋体" w:hAnsi="宋体" w:cs="Calibri"/>
          <w:sz w:val="22"/>
        </w:rPr>
        <w:t>”或“</w:t>
      </w:r>
      <w:r>
        <w:rPr>
          <w:rFonts w:ascii="宋体" w:hAnsi="宋体" w:cs="Calibri"/>
          <w:b/>
          <w:bCs/>
          <w:sz w:val="22"/>
        </w:rPr>
        <w:t>副本</w:t>
      </w:r>
      <w:r>
        <w:rPr>
          <w:rFonts w:ascii="宋体" w:hAnsi="宋体" w:cs="Calibri"/>
          <w:sz w:val="22"/>
        </w:rPr>
        <w:t>”的字样。当副本和正本不一致时，以正本为准。</w:t>
      </w:r>
    </w:p>
    <w:p>
      <w:pPr>
        <w:adjustRightInd w:val="0"/>
        <w:snapToGrid w:val="0"/>
        <w:spacing w:line="360" w:lineRule="exact"/>
        <w:ind w:firstLine="440"/>
        <w:rPr>
          <w:rFonts w:ascii="宋体" w:hAnsi="宋体" w:cs="Calibri"/>
          <w:sz w:val="22"/>
        </w:rPr>
      </w:pPr>
      <w:r>
        <w:rPr>
          <w:rFonts w:ascii="宋体" w:hAnsi="宋体" w:cs="Calibri"/>
          <w:sz w:val="22"/>
        </w:rPr>
        <w:t>3.6.5投标文件的正本与副本应分别按A4规格装订成册，具体装订要求见投标人须知前附表规定。</w:t>
      </w:r>
      <w:bookmarkStart w:id="29" w:name="_Toc143421659"/>
    </w:p>
    <w:p>
      <w:pPr>
        <w:autoSpaceDE w:val="0"/>
        <w:autoSpaceDN w:val="0"/>
        <w:adjustRightInd w:val="0"/>
        <w:snapToGrid w:val="0"/>
        <w:spacing w:line="360" w:lineRule="exact"/>
        <w:rPr>
          <w:rFonts w:ascii="宋体" w:hAnsi="宋体" w:cs="Calibri"/>
          <w:b/>
          <w:bCs/>
          <w:kern w:val="0"/>
          <w:sz w:val="22"/>
        </w:rPr>
      </w:pPr>
      <w:bookmarkStart w:id="30" w:name="_Toc32652"/>
      <w:r>
        <w:rPr>
          <w:rFonts w:ascii="宋体" w:hAnsi="宋体" w:cs="Calibri"/>
          <w:b/>
          <w:bCs/>
          <w:kern w:val="0"/>
          <w:sz w:val="22"/>
        </w:rPr>
        <w:t>4.投标</w:t>
      </w:r>
      <w:bookmarkEnd w:id="29"/>
      <w:bookmarkEnd w:id="30"/>
    </w:p>
    <w:p>
      <w:pPr>
        <w:autoSpaceDE w:val="0"/>
        <w:autoSpaceDN w:val="0"/>
        <w:adjustRightInd w:val="0"/>
        <w:snapToGrid w:val="0"/>
        <w:spacing w:line="360" w:lineRule="exact"/>
        <w:rPr>
          <w:rFonts w:ascii="宋体" w:hAnsi="宋体" w:cs="Calibri"/>
          <w:b/>
          <w:bCs/>
          <w:kern w:val="0"/>
          <w:sz w:val="22"/>
        </w:rPr>
      </w:pPr>
      <w:bookmarkStart w:id="31" w:name="_Toc649"/>
      <w:r>
        <w:rPr>
          <w:rFonts w:ascii="宋体" w:hAnsi="宋体" w:cs="Calibri"/>
          <w:b/>
          <w:bCs/>
          <w:kern w:val="0"/>
          <w:sz w:val="22"/>
        </w:rPr>
        <w:t>4.1 投标文件的密封和标识</w:t>
      </w:r>
      <w:bookmarkEnd w:id="31"/>
    </w:p>
    <w:p>
      <w:pPr>
        <w:adjustRightInd w:val="0"/>
        <w:snapToGrid w:val="0"/>
        <w:spacing w:line="360" w:lineRule="exact"/>
        <w:ind w:firstLine="440"/>
        <w:rPr>
          <w:rFonts w:ascii="宋体" w:hAnsi="宋体" w:cs="Calibri"/>
          <w:kern w:val="0"/>
          <w:sz w:val="22"/>
        </w:rPr>
      </w:pPr>
      <w:r>
        <w:rPr>
          <w:rFonts w:ascii="宋体" w:hAnsi="宋体" w:cs="Calibri"/>
          <w:sz w:val="22"/>
        </w:rPr>
        <w:t>4.1.1</w:t>
      </w:r>
      <w:r>
        <w:rPr>
          <w:rFonts w:ascii="宋体" w:hAnsi="宋体" w:cs="Calibri"/>
          <w:kern w:val="0"/>
          <w:sz w:val="22"/>
        </w:rPr>
        <w:t>投标文件的正本、副本及电子文档可一同</w:t>
      </w:r>
      <w:r>
        <w:rPr>
          <w:rFonts w:hint="eastAsia" w:ascii="宋体" w:hAnsi="宋体" w:cs="Calibri"/>
          <w:kern w:val="0"/>
          <w:sz w:val="22"/>
        </w:rPr>
        <w:t>密封</w:t>
      </w:r>
      <w:r>
        <w:rPr>
          <w:rFonts w:ascii="宋体" w:hAnsi="宋体" w:cs="Calibri"/>
          <w:kern w:val="0"/>
          <w:sz w:val="22"/>
        </w:rPr>
        <w:t>包装，并在封口处加盖投标人单位公章或法定代表人盖章（或签字）或委托代理人盖章（或签字）。</w:t>
      </w:r>
    </w:p>
    <w:p>
      <w:pPr>
        <w:adjustRightInd w:val="0"/>
        <w:snapToGrid w:val="0"/>
        <w:spacing w:line="360" w:lineRule="exact"/>
        <w:ind w:firstLine="440"/>
        <w:rPr>
          <w:rFonts w:ascii="宋体" w:hAnsi="宋体" w:cs="Calibri"/>
          <w:sz w:val="22"/>
        </w:rPr>
      </w:pPr>
      <w:r>
        <w:rPr>
          <w:rFonts w:ascii="宋体" w:hAnsi="宋体" w:cs="Calibri"/>
          <w:sz w:val="22"/>
        </w:rPr>
        <w:t>4.1.2 投标文件的封套上应清楚地标记“投标文件”字样，封套上应写明的其他内容见投标人须知前附表。</w:t>
      </w:r>
    </w:p>
    <w:p>
      <w:pPr>
        <w:adjustRightInd w:val="0"/>
        <w:snapToGrid w:val="0"/>
        <w:spacing w:line="360" w:lineRule="exact"/>
        <w:ind w:firstLine="440"/>
        <w:rPr>
          <w:rFonts w:ascii="宋体" w:hAnsi="宋体" w:cs="Calibri"/>
          <w:sz w:val="22"/>
        </w:rPr>
      </w:pPr>
      <w:r>
        <w:rPr>
          <w:rFonts w:ascii="宋体" w:hAnsi="宋体" w:cs="Calibri"/>
          <w:sz w:val="22"/>
        </w:rPr>
        <w:t>4.1.3 未按本章第4.1.1项或第4.1.2项要求密封和加写标记的投标文件，招标人不予受理。</w:t>
      </w:r>
    </w:p>
    <w:p>
      <w:pPr>
        <w:adjustRightInd w:val="0"/>
        <w:snapToGrid w:val="0"/>
        <w:spacing w:line="360" w:lineRule="exact"/>
        <w:ind w:firstLine="440"/>
        <w:rPr>
          <w:rFonts w:ascii="宋体" w:hAnsi="宋体" w:cs="Calibri"/>
          <w:kern w:val="0"/>
          <w:sz w:val="22"/>
        </w:rPr>
      </w:pPr>
      <w:r>
        <w:rPr>
          <w:rFonts w:ascii="宋体" w:hAnsi="宋体" w:cs="Calibri"/>
          <w:kern w:val="0"/>
          <w:sz w:val="22"/>
        </w:rPr>
        <w:t>4.1.</w:t>
      </w:r>
      <w:r>
        <w:rPr>
          <w:rFonts w:hint="eastAsia" w:ascii="宋体" w:hAnsi="宋体" w:cs="Calibri"/>
          <w:kern w:val="0"/>
          <w:sz w:val="22"/>
        </w:rPr>
        <w:t>4</w:t>
      </w:r>
      <w:r>
        <w:rPr>
          <w:rFonts w:ascii="宋体" w:hAnsi="宋体" w:cs="Calibri"/>
          <w:sz w:val="22"/>
        </w:rPr>
        <w:t>如果包封上没有按上述规定密封并加以标记，招标人将不承担投标文件错放或提前开封的责任。</w:t>
      </w:r>
    </w:p>
    <w:p>
      <w:pPr>
        <w:autoSpaceDE w:val="0"/>
        <w:autoSpaceDN w:val="0"/>
        <w:adjustRightInd w:val="0"/>
        <w:snapToGrid w:val="0"/>
        <w:spacing w:line="360" w:lineRule="exact"/>
        <w:rPr>
          <w:rFonts w:ascii="宋体" w:hAnsi="宋体" w:cs="Calibri"/>
          <w:b/>
          <w:bCs/>
          <w:kern w:val="0"/>
          <w:sz w:val="22"/>
        </w:rPr>
      </w:pPr>
      <w:bookmarkStart w:id="32" w:name="_Toc16616"/>
      <w:r>
        <w:rPr>
          <w:rFonts w:ascii="宋体" w:hAnsi="宋体" w:cs="Calibri"/>
          <w:b/>
          <w:bCs/>
          <w:kern w:val="0"/>
          <w:sz w:val="22"/>
        </w:rPr>
        <w:t xml:space="preserve">4.2 投标文件的递交 </w:t>
      </w:r>
      <w:bookmarkEnd w:id="32"/>
    </w:p>
    <w:p>
      <w:pPr>
        <w:autoSpaceDE w:val="0"/>
        <w:autoSpaceDN w:val="0"/>
        <w:adjustRightInd w:val="0"/>
        <w:snapToGrid w:val="0"/>
        <w:spacing w:line="360" w:lineRule="exact"/>
        <w:ind w:firstLine="476"/>
        <w:rPr>
          <w:rFonts w:ascii="宋体" w:hAnsi="宋体" w:cs="Calibri"/>
          <w:b/>
          <w:bCs/>
          <w:kern w:val="0"/>
          <w:sz w:val="22"/>
        </w:rPr>
      </w:pPr>
      <w:r>
        <w:rPr>
          <w:rFonts w:ascii="宋体" w:hAnsi="宋体" w:cs="Calibri"/>
          <w:b/>
          <w:bCs/>
          <w:kern w:val="0"/>
          <w:sz w:val="22"/>
        </w:rPr>
        <w:t>4.2.1投标人应在本须知前附表规定的投标截止时间前递交投标文件。</w:t>
      </w:r>
    </w:p>
    <w:p>
      <w:pPr>
        <w:adjustRightInd w:val="0"/>
        <w:snapToGrid w:val="0"/>
        <w:spacing w:line="360" w:lineRule="exact"/>
        <w:ind w:firstLine="440"/>
        <w:rPr>
          <w:rFonts w:ascii="宋体" w:hAnsi="宋体" w:cs="Calibri"/>
          <w:sz w:val="22"/>
        </w:rPr>
      </w:pPr>
      <w:r>
        <w:rPr>
          <w:rFonts w:ascii="宋体" w:hAnsi="宋体" w:cs="Calibri"/>
          <w:sz w:val="22"/>
        </w:rPr>
        <w:t>4.2.2投标人送达投标文件的地点：见投标人须知前附表。</w:t>
      </w:r>
    </w:p>
    <w:p>
      <w:pPr>
        <w:adjustRightInd w:val="0"/>
        <w:snapToGrid w:val="0"/>
        <w:spacing w:line="360" w:lineRule="exact"/>
        <w:ind w:firstLine="440"/>
        <w:rPr>
          <w:rFonts w:ascii="宋体" w:hAnsi="宋体" w:cs="Calibri"/>
          <w:sz w:val="22"/>
        </w:rPr>
      </w:pPr>
      <w:r>
        <w:rPr>
          <w:rFonts w:ascii="宋体" w:hAnsi="宋体" w:cs="Calibri"/>
          <w:sz w:val="22"/>
        </w:rPr>
        <w:t>4.2.3除投标人须知前附表另有规定外，投标人所递交的投标文件不予退还。</w:t>
      </w:r>
    </w:p>
    <w:p>
      <w:pPr>
        <w:adjustRightInd w:val="0"/>
        <w:snapToGrid w:val="0"/>
        <w:spacing w:line="360" w:lineRule="exact"/>
        <w:ind w:firstLine="440"/>
        <w:rPr>
          <w:rFonts w:ascii="宋体" w:hAnsi="宋体" w:cs="Calibri"/>
          <w:sz w:val="22"/>
        </w:rPr>
      </w:pPr>
      <w:r>
        <w:rPr>
          <w:rFonts w:ascii="宋体" w:hAnsi="宋体" w:cs="Calibri"/>
          <w:sz w:val="22"/>
        </w:rPr>
        <w:t>4.2.</w:t>
      </w:r>
      <w:r>
        <w:rPr>
          <w:rFonts w:hint="eastAsia" w:ascii="宋体" w:hAnsi="宋体" w:cs="Calibri"/>
          <w:sz w:val="22"/>
        </w:rPr>
        <w:t>4</w:t>
      </w:r>
      <w:r>
        <w:rPr>
          <w:rFonts w:ascii="宋体" w:hAnsi="宋体" w:cs="Calibri"/>
          <w:sz w:val="22"/>
        </w:rPr>
        <w:t>逾期送达的或者未送达指定地点的投标文件，招标人不予受理。</w:t>
      </w:r>
    </w:p>
    <w:p>
      <w:pPr>
        <w:autoSpaceDE w:val="0"/>
        <w:autoSpaceDN w:val="0"/>
        <w:adjustRightInd w:val="0"/>
        <w:snapToGrid w:val="0"/>
        <w:spacing w:line="360" w:lineRule="exact"/>
        <w:rPr>
          <w:rFonts w:ascii="宋体" w:hAnsi="宋体" w:cs="Calibri"/>
          <w:b/>
          <w:bCs/>
          <w:kern w:val="0"/>
          <w:sz w:val="22"/>
        </w:rPr>
      </w:pPr>
      <w:bookmarkStart w:id="33" w:name="_Toc26099"/>
      <w:r>
        <w:rPr>
          <w:rFonts w:ascii="宋体" w:hAnsi="宋体" w:cs="Calibri"/>
          <w:b/>
          <w:bCs/>
          <w:kern w:val="0"/>
          <w:sz w:val="22"/>
        </w:rPr>
        <w:t>4.3 投标文件的修改和撤回</w:t>
      </w:r>
      <w:bookmarkEnd w:id="33"/>
    </w:p>
    <w:p>
      <w:pPr>
        <w:adjustRightInd w:val="0"/>
        <w:snapToGrid w:val="0"/>
        <w:spacing w:line="360" w:lineRule="exact"/>
        <w:ind w:firstLine="440"/>
        <w:rPr>
          <w:rFonts w:ascii="宋体" w:hAnsi="宋体" w:cs="Calibri"/>
          <w:kern w:val="0"/>
          <w:sz w:val="22"/>
        </w:rPr>
      </w:pPr>
      <w:r>
        <w:rPr>
          <w:rFonts w:ascii="宋体" w:hAnsi="宋体" w:cs="Calibri"/>
          <w:kern w:val="0"/>
          <w:sz w:val="22"/>
        </w:rPr>
        <w:t>4.3.1在规定的投标截止时间前，投标人可以修改或撤回已递交的投标文件，但应以书面形式通知招标人。</w:t>
      </w:r>
    </w:p>
    <w:p>
      <w:pPr>
        <w:adjustRightInd w:val="0"/>
        <w:snapToGrid w:val="0"/>
        <w:spacing w:line="360" w:lineRule="exact"/>
        <w:ind w:firstLine="440"/>
        <w:rPr>
          <w:rFonts w:ascii="宋体" w:hAnsi="宋体" w:cs="Calibri"/>
          <w:kern w:val="0"/>
          <w:sz w:val="22"/>
        </w:rPr>
      </w:pPr>
      <w:r>
        <w:rPr>
          <w:rFonts w:ascii="宋体" w:hAnsi="宋体" w:cs="Calibri"/>
          <w:kern w:val="0"/>
          <w:sz w:val="22"/>
        </w:rPr>
        <w:t>4.3.2投标人修改或撤回已递交投标文件的书面通知应按照规定的要求签字。招标人收到书面通知后，向投标人出具签收凭证。</w:t>
      </w:r>
    </w:p>
    <w:p>
      <w:pPr>
        <w:adjustRightInd w:val="0"/>
        <w:snapToGrid w:val="0"/>
        <w:spacing w:line="360" w:lineRule="exact"/>
        <w:ind w:firstLine="440"/>
        <w:rPr>
          <w:rFonts w:ascii="宋体" w:hAnsi="宋体" w:cs="Calibri"/>
          <w:kern w:val="0"/>
          <w:sz w:val="22"/>
        </w:rPr>
      </w:pPr>
      <w:r>
        <w:rPr>
          <w:rFonts w:ascii="宋体" w:hAnsi="宋体" w:cs="Calibri"/>
          <w:kern w:val="0"/>
          <w:sz w:val="22"/>
        </w:rPr>
        <w:t>4.3.3修改的内容为投标文件的组成部分。修改的投标文件应按照本须知3、4规定进行编制、密封、标识和递交，并标明“修改”字样。</w:t>
      </w:r>
    </w:p>
    <w:p>
      <w:pPr>
        <w:autoSpaceDE w:val="0"/>
        <w:autoSpaceDN w:val="0"/>
        <w:adjustRightInd w:val="0"/>
        <w:snapToGrid w:val="0"/>
        <w:spacing w:line="360" w:lineRule="exact"/>
        <w:rPr>
          <w:rFonts w:ascii="宋体" w:hAnsi="宋体" w:cs="Calibri"/>
          <w:b/>
          <w:bCs/>
          <w:kern w:val="0"/>
          <w:sz w:val="22"/>
        </w:rPr>
      </w:pPr>
      <w:bookmarkStart w:id="34" w:name="_Toc29641"/>
      <w:r>
        <w:rPr>
          <w:rFonts w:ascii="宋体" w:hAnsi="宋体" w:cs="Calibri"/>
          <w:b/>
          <w:bCs/>
          <w:kern w:val="0"/>
          <w:sz w:val="22"/>
        </w:rPr>
        <w:t>5.开标</w:t>
      </w:r>
      <w:bookmarkEnd w:id="34"/>
    </w:p>
    <w:p>
      <w:pPr>
        <w:autoSpaceDE w:val="0"/>
        <w:autoSpaceDN w:val="0"/>
        <w:adjustRightInd w:val="0"/>
        <w:snapToGrid w:val="0"/>
        <w:spacing w:line="360" w:lineRule="exact"/>
        <w:rPr>
          <w:rFonts w:ascii="宋体" w:hAnsi="宋体" w:cs="Calibri"/>
          <w:b/>
          <w:bCs/>
          <w:kern w:val="0"/>
          <w:sz w:val="22"/>
        </w:rPr>
      </w:pPr>
      <w:bookmarkStart w:id="35" w:name="_Toc15123"/>
      <w:r>
        <w:rPr>
          <w:rFonts w:ascii="宋体" w:hAnsi="宋体" w:cs="Calibri"/>
          <w:b/>
          <w:bCs/>
          <w:kern w:val="0"/>
          <w:sz w:val="22"/>
        </w:rPr>
        <w:t>5.1 开标时间和地点</w:t>
      </w:r>
      <w:bookmarkEnd w:id="35"/>
    </w:p>
    <w:p>
      <w:pPr>
        <w:adjustRightInd w:val="0"/>
        <w:snapToGrid w:val="0"/>
        <w:spacing w:line="360" w:lineRule="exact"/>
        <w:ind w:firstLine="440"/>
        <w:rPr>
          <w:rFonts w:ascii="宋体" w:hAnsi="宋体" w:cs="Calibri"/>
          <w:sz w:val="22"/>
        </w:rPr>
      </w:pPr>
      <w:r>
        <w:rPr>
          <w:rFonts w:ascii="宋体" w:hAnsi="宋体" w:cs="Calibri"/>
          <w:sz w:val="22"/>
        </w:rPr>
        <w:t>5.1.1招标人在投标人须知规定的投标截止时间（开标时间）和地点公开开标，并邀请所有投标人的法定代表人或其委托代理人准时参加</w:t>
      </w:r>
      <w:r>
        <w:rPr>
          <w:rFonts w:hint="eastAsia" w:ascii="宋体" w:hAnsi="宋体" w:cs="Calibri"/>
          <w:sz w:val="22"/>
        </w:rPr>
        <w:t>，参加开标的代表应签名报到以证明其出席，未参加开标的投标人视作默认开标结果。</w:t>
      </w:r>
    </w:p>
    <w:p>
      <w:pPr>
        <w:adjustRightInd w:val="0"/>
        <w:snapToGrid w:val="0"/>
        <w:spacing w:line="360" w:lineRule="exact"/>
        <w:ind w:firstLine="440"/>
        <w:rPr>
          <w:rFonts w:ascii="宋体" w:hAnsi="宋体" w:cs="Calibri"/>
          <w:sz w:val="22"/>
        </w:rPr>
      </w:pPr>
      <w:r>
        <w:rPr>
          <w:rFonts w:ascii="宋体" w:hAnsi="宋体" w:cs="Calibri"/>
          <w:sz w:val="22"/>
        </w:rPr>
        <w:t>5.1.2投标人在投标时应随身携带下列资料提交招标</w:t>
      </w:r>
      <w:r>
        <w:rPr>
          <w:rFonts w:hint="eastAsia" w:ascii="宋体" w:hAnsi="宋体" w:cs="Calibri"/>
          <w:sz w:val="22"/>
        </w:rPr>
        <w:t>人</w:t>
      </w:r>
    </w:p>
    <w:p>
      <w:pPr>
        <w:adjustRightInd w:val="0"/>
        <w:snapToGrid w:val="0"/>
        <w:spacing w:line="360" w:lineRule="exact"/>
        <w:ind w:firstLine="440"/>
        <w:rPr>
          <w:rFonts w:ascii="宋体" w:hAnsi="宋体" w:cs="Calibri"/>
          <w:sz w:val="22"/>
        </w:rPr>
      </w:pPr>
      <w:r>
        <w:rPr>
          <w:rFonts w:ascii="宋体" w:hAnsi="宋体" w:cs="Calibri"/>
          <w:sz w:val="22"/>
        </w:rPr>
        <w:t>（1）委托代理人的身份证、法定代表人授权委托书</w:t>
      </w:r>
      <w:r>
        <w:rPr>
          <w:rFonts w:hint="eastAsia" w:ascii="宋体" w:hAnsi="宋体" w:cs="Calibri"/>
          <w:sz w:val="22"/>
        </w:rPr>
        <w:t>（装订在投标文件内亦可）</w:t>
      </w:r>
      <w:r>
        <w:rPr>
          <w:rFonts w:ascii="宋体" w:hAnsi="宋体" w:cs="Calibri"/>
          <w:sz w:val="22"/>
        </w:rPr>
        <w:t>；</w:t>
      </w:r>
    </w:p>
    <w:p>
      <w:pPr>
        <w:adjustRightInd w:val="0"/>
        <w:snapToGrid w:val="0"/>
        <w:spacing w:line="360" w:lineRule="exact"/>
        <w:ind w:firstLine="440"/>
        <w:rPr>
          <w:rFonts w:ascii="宋体" w:hAnsi="宋体" w:cs="Calibri"/>
          <w:sz w:val="22"/>
        </w:rPr>
      </w:pPr>
      <w:r>
        <w:rPr>
          <w:rFonts w:ascii="宋体" w:hAnsi="宋体" w:cs="Calibri"/>
          <w:sz w:val="22"/>
        </w:rPr>
        <w:t>（2）投标保证金收执证明或汇款凭证或银行回单</w:t>
      </w:r>
      <w:r>
        <w:rPr>
          <w:rFonts w:hint="eastAsia" w:ascii="宋体" w:hAnsi="宋体" w:cs="Calibri"/>
          <w:sz w:val="22"/>
        </w:rPr>
        <w:t>（装订在投标文件内亦可）</w:t>
      </w:r>
      <w:r>
        <w:rPr>
          <w:rFonts w:ascii="宋体" w:hAnsi="宋体" w:cs="Calibri"/>
          <w:sz w:val="22"/>
        </w:rPr>
        <w:t>。</w:t>
      </w:r>
    </w:p>
    <w:p>
      <w:pPr>
        <w:autoSpaceDE w:val="0"/>
        <w:autoSpaceDN w:val="0"/>
        <w:adjustRightInd w:val="0"/>
        <w:snapToGrid w:val="0"/>
        <w:spacing w:line="360" w:lineRule="exact"/>
        <w:rPr>
          <w:rFonts w:ascii="宋体" w:hAnsi="宋体" w:cs="Calibri"/>
          <w:b/>
          <w:bCs/>
          <w:kern w:val="0"/>
          <w:sz w:val="22"/>
        </w:rPr>
      </w:pPr>
      <w:bookmarkStart w:id="36" w:name="_Toc7101"/>
      <w:r>
        <w:rPr>
          <w:rFonts w:ascii="宋体" w:hAnsi="宋体" w:cs="Calibri"/>
          <w:b/>
          <w:bCs/>
          <w:kern w:val="0"/>
          <w:sz w:val="22"/>
        </w:rPr>
        <w:t>5.2 开标程序</w:t>
      </w:r>
      <w:bookmarkEnd w:id="36"/>
    </w:p>
    <w:p>
      <w:pPr>
        <w:adjustRightInd w:val="0"/>
        <w:snapToGrid w:val="0"/>
        <w:spacing w:line="360" w:lineRule="exact"/>
        <w:ind w:firstLine="440"/>
        <w:rPr>
          <w:rFonts w:ascii="宋体" w:hAnsi="宋体" w:cs="Calibri"/>
          <w:kern w:val="0"/>
          <w:sz w:val="22"/>
        </w:rPr>
      </w:pPr>
      <w:r>
        <w:rPr>
          <w:rFonts w:ascii="宋体" w:hAnsi="宋体" w:cs="Calibri"/>
          <w:kern w:val="0"/>
          <w:sz w:val="22"/>
        </w:rPr>
        <w:t>主持人按下列程序进行开标：</w:t>
      </w:r>
    </w:p>
    <w:p>
      <w:pPr>
        <w:adjustRightInd w:val="0"/>
        <w:snapToGrid w:val="0"/>
        <w:spacing w:line="360" w:lineRule="exact"/>
        <w:ind w:firstLine="440"/>
        <w:rPr>
          <w:rFonts w:ascii="宋体" w:hAnsi="宋体" w:cs="Calibri"/>
          <w:kern w:val="0"/>
          <w:sz w:val="22"/>
        </w:rPr>
      </w:pPr>
      <w:r>
        <w:rPr>
          <w:rFonts w:ascii="宋体" w:hAnsi="宋体" w:cs="Calibri"/>
          <w:kern w:val="0"/>
          <w:sz w:val="22"/>
        </w:rPr>
        <w:t>（1）宣布开标纪律；</w:t>
      </w:r>
    </w:p>
    <w:p>
      <w:pPr>
        <w:adjustRightInd w:val="0"/>
        <w:snapToGrid w:val="0"/>
        <w:spacing w:line="360" w:lineRule="exact"/>
        <w:ind w:firstLine="440"/>
        <w:rPr>
          <w:rFonts w:ascii="宋体" w:hAnsi="宋体" w:cs="Calibri"/>
          <w:kern w:val="0"/>
          <w:sz w:val="22"/>
        </w:rPr>
      </w:pPr>
      <w:r>
        <w:rPr>
          <w:rFonts w:ascii="宋体" w:hAnsi="宋体" w:cs="Calibri"/>
          <w:kern w:val="0"/>
          <w:sz w:val="22"/>
        </w:rPr>
        <w:t>（2）公布在投标截止时间前递交投标文件的投标人名称，并点名确认投标人是否派人到场；</w:t>
      </w:r>
    </w:p>
    <w:p>
      <w:pPr>
        <w:adjustRightInd w:val="0"/>
        <w:snapToGrid w:val="0"/>
        <w:spacing w:line="360" w:lineRule="exact"/>
        <w:ind w:firstLine="440"/>
        <w:rPr>
          <w:rFonts w:ascii="宋体" w:hAnsi="宋体" w:cs="Calibri"/>
          <w:kern w:val="0"/>
          <w:sz w:val="22"/>
        </w:rPr>
      </w:pPr>
      <w:r>
        <w:rPr>
          <w:rFonts w:ascii="宋体" w:hAnsi="宋体" w:cs="Calibri"/>
          <w:kern w:val="0"/>
          <w:sz w:val="22"/>
        </w:rPr>
        <w:t>（3）宣布开标人、唱标人、记录人、监标人等有关人员姓名；</w:t>
      </w:r>
    </w:p>
    <w:p>
      <w:pPr>
        <w:adjustRightInd w:val="0"/>
        <w:snapToGrid w:val="0"/>
        <w:spacing w:line="360" w:lineRule="exact"/>
        <w:ind w:firstLine="440"/>
        <w:rPr>
          <w:rFonts w:ascii="宋体" w:hAnsi="宋体" w:cs="Calibri"/>
          <w:kern w:val="0"/>
          <w:sz w:val="22"/>
        </w:rPr>
      </w:pPr>
      <w:r>
        <w:rPr>
          <w:rFonts w:ascii="宋体" w:hAnsi="宋体" w:cs="Calibri"/>
          <w:kern w:val="0"/>
          <w:sz w:val="22"/>
        </w:rPr>
        <w:t>（4）按照投标人须知前附表规定检查投标文件的密封情况；</w:t>
      </w:r>
    </w:p>
    <w:p>
      <w:pPr>
        <w:adjustRightInd w:val="0"/>
        <w:snapToGrid w:val="0"/>
        <w:spacing w:line="360" w:lineRule="exact"/>
        <w:ind w:firstLine="440"/>
        <w:rPr>
          <w:rFonts w:ascii="宋体" w:hAnsi="宋体" w:cs="Calibri"/>
          <w:kern w:val="0"/>
          <w:sz w:val="22"/>
        </w:rPr>
      </w:pPr>
      <w:r>
        <w:rPr>
          <w:rFonts w:ascii="宋体" w:hAnsi="宋体" w:cs="Calibri"/>
          <w:kern w:val="0"/>
          <w:sz w:val="22"/>
        </w:rPr>
        <w:t>（5）按照投标人须知前附表的规定确定并宣布投标文件开标顺序；</w:t>
      </w:r>
    </w:p>
    <w:p>
      <w:pPr>
        <w:adjustRightInd w:val="0"/>
        <w:snapToGrid w:val="0"/>
        <w:spacing w:line="360" w:lineRule="exact"/>
        <w:ind w:firstLine="440"/>
        <w:rPr>
          <w:rFonts w:ascii="宋体" w:hAnsi="宋体" w:cs="Calibri"/>
          <w:kern w:val="0"/>
          <w:sz w:val="22"/>
        </w:rPr>
      </w:pPr>
      <w:r>
        <w:rPr>
          <w:rFonts w:ascii="宋体" w:hAnsi="宋体" w:cs="Calibri"/>
          <w:kern w:val="0"/>
          <w:sz w:val="22"/>
        </w:rPr>
        <w:t>（6）</w:t>
      </w:r>
      <w:r>
        <w:rPr>
          <w:rFonts w:ascii="宋体" w:hAnsi="宋体" w:cs="Calibri"/>
          <w:sz w:val="22"/>
        </w:rPr>
        <w:t>按照宣布的开标顺序当众开标，公布投标人名称、投标保证金的递交情况、投标报价、工期</w:t>
      </w:r>
      <w:r>
        <w:rPr>
          <w:rFonts w:hint="eastAsia" w:ascii="宋体" w:hAnsi="宋体" w:cs="Calibri"/>
          <w:sz w:val="22"/>
        </w:rPr>
        <w:t>、质量目标</w:t>
      </w:r>
      <w:r>
        <w:rPr>
          <w:rFonts w:ascii="宋体" w:hAnsi="宋体" w:cs="Calibri"/>
          <w:sz w:val="22"/>
        </w:rPr>
        <w:t>及其他内容，并记录在案；</w:t>
      </w:r>
    </w:p>
    <w:p>
      <w:pPr>
        <w:adjustRightInd w:val="0"/>
        <w:snapToGrid w:val="0"/>
        <w:spacing w:line="360" w:lineRule="exact"/>
        <w:ind w:firstLine="440"/>
        <w:rPr>
          <w:rFonts w:ascii="宋体" w:hAnsi="宋体" w:cs="Calibri"/>
          <w:kern w:val="0"/>
          <w:sz w:val="22"/>
        </w:rPr>
      </w:pPr>
      <w:r>
        <w:rPr>
          <w:rFonts w:ascii="宋体" w:hAnsi="宋体" w:cs="Calibri"/>
          <w:kern w:val="0"/>
          <w:sz w:val="22"/>
        </w:rPr>
        <w:t>（7）投标人代表、招标人代表、监标人、记录人等有关人员在开标记录上签字确认；</w:t>
      </w:r>
    </w:p>
    <w:p>
      <w:pPr>
        <w:adjustRightInd w:val="0"/>
        <w:snapToGrid w:val="0"/>
        <w:spacing w:line="360" w:lineRule="exact"/>
        <w:ind w:firstLine="440"/>
        <w:rPr>
          <w:rFonts w:ascii="宋体" w:hAnsi="宋体" w:cs="Calibri"/>
          <w:kern w:val="0"/>
          <w:sz w:val="22"/>
        </w:rPr>
      </w:pPr>
      <w:r>
        <w:rPr>
          <w:rFonts w:ascii="宋体" w:hAnsi="宋体" w:cs="Calibri"/>
          <w:kern w:val="0"/>
          <w:sz w:val="22"/>
        </w:rPr>
        <w:t>（8）开标结束。</w:t>
      </w:r>
    </w:p>
    <w:p>
      <w:pPr>
        <w:autoSpaceDE w:val="0"/>
        <w:autoSpaceDN w:val="0"/>
        <w:adjustRightInd w:val="0"/>
        <w:snapToGrid w:val="0"/>
        <w:spacing w:line="360" w:lineRule="exact"/>
        <w:rPr>
          <w:rFonts w:ascii="宋体" w:hAnsi="宋体" w:cs="Calibri"/>
          <w:b/>
          <w:bCs/>
          <w:kern w:val="0"/>
          <w:sz w:val="22"/>
        </w:rPr>
      </w:pPr>
      <w:bookmarkStart w:id="37" w:name="_Toc31578"/>
      <w:r>
        <w:rPr>
          <w:rFonts w:ascii="宋体" w:hAnsi="宋体" w:cs="Calibri"/>
          <w:b/>
          <w:bCs/>
          <w:kern w:val="0"/>
          <w:sz w:val="22"/>
        </w:rPr>
        <w:t>6.评标</w:t>
      </w:r>
      <w:bookmarkEnd w:id="37"/>
    </w:p>
    <w:p>
      <w:pPr>
        <w:autoSpaceDE w:val="0"/>
        <w:autoSpaceDN w:val="0"/>
        <w:adjustRightInd w:val="0"/>
        <w:snapToGrid w:val="0"/>
        <w:spacing w:line="360" w:lineRule="exact"/>
        <w:rPr>
          <w:rFonts w:ascii="宋体" w:hAnsi="宋体" w:cs="Calibri"/>
          <w:b/>
          <w:bCs/>
          <w:kern w:val="0"/>
          <w:sz w:val="22"/>
        </w:rPr>
      </w:pPr>
      <w:bookmarkStart w:id="38" w:name="_Toc10279"/>
      <w:r>
        <w:rPr>
          <w:rFonts w:ascii="宋体" w:hAnsi="宋体" w:cs="Calibri"/>
          <w:b/>
          <w:bCs/>
          <w:kern w:val="0"/>
          <w:sz w:val="22"/>
        </w:rPr>
        <w:t>6.1 评标委员会</w:t>
      </w:r>
      <w:bookmarkEnd w:id="38"/>
    </w:p>
    <w:p>
      <w:pPr>
        <w:adjustRightInd w:val="0"/>
        <w:snapToGrid w:val="0"/>
        <w:spacing w:line="360" w:lineRule="exact"/>
        <w:ind w:firstLine="440"/>
        <w:rPr>
          <w:rFonts w:ascii="宋体" w:hAnsi="宋体" w:cs="Calibri"/>
          <w:kern w:val="0"/>
          <w:sz w:val="22"/>
        </w:rPr>
      </w:pPr>
      <w:r>
        <w:rPr>
          <w:rFonts w:ascii="宋体" w:hAnsi="宋体" w:cs="Calibri"/>
          <w:kern w:val="0"/>
          <w:sz w:val="22"/>
        </w:rPr>
        <w:t>6.1.1评标由招标人依法组建的评标委员会负责。评标委员会成员人数以及技术、经济等方面专家的确定方式见投标人须知前附表。</w:t>
      </w:r>
    </w:p>
    <w:p>
      <w:pPr>
        <w:adjustRightInd w:val="0"/>
        <w:snapToGrid w:val="0"/>
        <w:spacing w:line="360" w:lineRule="exact"/>
        <w:ind w:firstLine="440"/>
        <w:rPr>
          <w:rFonts w:ascii="宋体" w:hAnsi="宋体" w:cs="Calibri"/>
          <w:kern w:val="0"/>
          <w:sz w:val="22"/>
        </w:rPr>
      </w:pPr>
      <w:r>
        <w:rPr>
          <w:rFonts w:ascii="宋体" w:hAnsi="宋体" w:cs="Calibri"/>
          <w:kern w:val="0"/>
          <w:sz w:val="22"/>
        </w:rPr>
        <w:t>6.1.2评标委员会成员有下列情形之一的，应当回避：</w:t>
      </w:r>
    </w:p>
    <w:p>
      <w:pPr>
        <w:adjustRightInd w:val="0"/>
        <w:snapToGrid w:val="0"/>
        <w:spacing w:line="360" w:lineRule="exact"/>
        <w:ind w:firstLine="440"/>
        <w:rPr>
          <w:rFonts w:ascii="宋体" w:hAnsi="宋体" w:cs="Calibri"/>
          <w:kern w:val="0"/>
          <w:sz w:val="22"/>
        </w:rPr>
      </w:pPr>
      <w:r>
        <w:rPr>
          <w:rFonts w:ascii="宋体" w:hAnsi="宋体" w:cs="Calibri"/>
          <w:kern w:val="0"/>
          <w:sz w:val="22"/>
        </w:rPr>
        <w:t>（1）招标人或投标人的主要负责人的近亲属；</w:t>
      </w:r>
    </w:p>
    <w:p>
      <w:pPr>
        <w:adjustRightInd w:val="0"/>
        <w:snapToGrid w:val="0"/>
        <w:spacing w:line="360" w:lineRule="exact"/>
        <w:ind w:firstLine="440"/>
        <w:rPr>
          <w:rFonts w:ascii="宋体" w:hAnsi="宋体" w:cs="Calibri"/>
          <w:kern w:val="0"/>
          <w:sz w:val="22"/>
        </w:rPr>
      </w:pPr>
      <w:r>
        <w:rPr>
          <w:rFonts w:ascii="宋体" w:hAnsi="宋体" w:cs="Calibri"/>
          <w:kern w:val="0"/>
          <w:sz w:val="22"/>
        </w:rPr>
        <w:t>（2）项目主管部门或者行政监督部门的人员；</w:t>
      </w:r>
    </w:p>
    <w:p>
      <w:pPr>
        <w:adjustRightInd w:val="0"/>
        <w:snapToGrid w:val="0"/>
        <w:spacing w:line="360" w:lineRule="exact"/>
        <w:ind w:firstLine="440"/>
        <w:rPr>
          <w:rFonts w:ascii="宋体" w:hAnsi="宋体" w:cs="Calibri"/>
          <w:kern w:val="0"/>
          <w:sz w:val="22"/>
        </w:rPr>
      </w:pPr>
      <w:r>
        <w:rPr>
          <w:rFonts w:ascii="宋体" w:hAnsi="宋体" w:cs="Calibri"/>
          <w:kern w:val="0"/>
          <w:sz w:val="22"/>
        </w:rPr>
        <w:t>（3）与投标人有经济利益关系，可能影响对投标公正评审的；</w:t>
      </w:r>
    </w:p>
    <w:p>
      <w:pPr>
        <w:adjustRightInd w:val="0"/>
        <w:snapToGrid w:val="0"/>
        <w:spacing w:line="360" w:lineRule="exact"/>
        <w:ind w:firstLine="440"/>
        <w:rPr>
          <w:rFonts w:ascii="宋体" w:hAnsi="宋体" w:cs="Calibri"/>
          <w:kern w:val="0"/>
          <w:sz w:val="22"/>
        </w:rPr>
      </w:pPr>
      <w:r>
        <w:rPr>
          <w:rFonts w:ascii="宋体" w:hAnsi="宋体" w:cs="Calibri"/>
          <w:kern w:val="0"/>
          <w:sz w:val="22"/>
        </w:rPr>
        <w:t>（4）曾因在招标、评标以及其他与招标投标有关活动中从事违法行为而受过行政处罚或刑事处罚的。</w:t>
      </w:r>
    </w:p>
    <w:p>
      <w:pPr>
        <w:autoSpaceDE w:val="0"/>
        <w:autoSpaceDN w:val="0"/>
        <w:adjustRightInd w:val="0"/>
        <w:snapToGrid w:val="0"/>
        <w:spacing w:line="360" w:lineRule="exact"/>
        <w:rPr>
          <w:rFonts w:ascii="宋体" w:hAnsi="宋体" w:cs="Calibri"/>
          <w:b/>
          <w:bCs/>
          <w:kern w:val="0"/>
          <w:sz w:val="22"/>
        </w:rPr>
      </w:pPr>
      <w:bookmarkStart w:id="39" w:name="_Toc3460"/>
      <w:r>
        <w:rPr>
          <w:rFonts w:ascii="宋体" w:hAnsi="宋体" w:cs="Calibri"/>
          <w:b/>
          <w:bCs/>
          <w:kern w:val="0"/>
          <w:sz w:val="22"/>
        </w:rPr>
        <w:t>6.2 评标原则</w:t>
      </w:r>
      <w:bookmarkEnd w:id="39"/>
    </w:p>
    <w:p>
      <w:pPr>
        <w:adjustRightInd w:val="0"/>
        <w:snapToGrid w:val="0"/>
        <w:spacing w:line="360" w:lineRule="exact"/>
        <w:ind w:firstLine="440"/>
        <w:rPr>
          <w:rFonts w:ascii="宋体" w:hAnsi="宋体" w:cs="Calibri"/>
          <w:kern w:val="0"/>
          <w:sz w:val="22"/>
        </w:rPr>
      </w:pPr>
      <w:r>
        <w:rPr>
          <w:rFonts w:ascii="宋体" w:hAnsi="宋体" w:cs="Calibri"/>
          <w:kern w:val="0"/>
          <w:sz w:val="22"/>
        </w:rPr>
        <w:t>评标活动遵循公平、公正、科学和择优的原则。</w:t>
      </w:r>
    </w:p>
    <w:p>
      <w:pPr>
        <w:autoSpaceDE w:val="0"/>
        <w:autoSpaceDN w:val="0"/>
        <w:adjustRightInd w:val="0"/>
        <w:snapToGrid w:val="0"/>
        <w:spacing w:line="360" w:lineRule="exact"/>
        <w:rPr>
          <w:rFonts w:ascii="宋体" w:hAnsi="宋体" w:cs="Calibri"/>
          <w:b/>
          <w:bCs/>
          <w:kern w:val="0"/>
          <w:sz w:val="22"/>
        </w:rPr>
      </w:pPr>
      <w:bookmarkStart w:id="40" w:name="_Toc24237"/>
      <w:r>
        <w:rPr>
          <w:rFonts w:hint="eastAsia" w:ascii="宋体" w:hAnsi="宋体" w:cs="Calibri"/>
          <w:b/>
          <w:bCs/>
          <w:kern w:val="0"/>
          <w:sz w:val="22"/>
        </w:rPr>
        <w:t>6.3 评标办法（综合</w:t>
      </w:r>
      <w:r>
        <w:rPr>
          <w:rFonts w:ascii="宋体" w:hAnsi="宋体" w:cs="Calibri"/>
          <w:b/>
          <w:bCs/>
          <w:kern w:val="0"/>
          <w:sz w:val="22"/>
        </w:rPr>
        <w:t>评</w:t>
      </w:r>
      <w:r>
        <w:rPr>
          <w:rFonts w:hint="eastAsia" w:ascii="宋体" w:hAnsi="宋体" w:cs="Calibri"/>
          <w:b/>
          <w:bCs/>
          <w:kern w:val="0"/>
          <w:sz w:val="22"/>
        </w:rPr>
        <w:t>估</w:t>
      </w:r>
      <w:r>
        <w:rPr>
          <w:rFonts w:ascii="宋体" w:hAnsi="宋体" w:cs="Calibri"/>
          <w:b/>
          <w:bCs/>
          <w:kern w:val="0"/>
          <w:sz w:val="22"/>
        </w:rPr>
        <w:t>法</w:t>
      </w:r>
      <w:r>
        <w:rPr>
          <w:rFonts w:hint="eastAsia" w:ascii="宋体" w:hAnsi="宋体" w:cs="Calibri"/>
          <w:b/>
          <w:bCs/>
          <w:kern w:val="0"/>
          <w:sz w:val="22"/>
        </w:rPr>
        <w:t>）</w:t>
      </w:r>
    </w:p>
    <w:p>
      <w:pPr>
        <w:adjustRightInd w:val="0"/>
        <w:snapToGrid w:val="0"/>
        <w:spacing w:line="360" w:lineRule="exact"/>
        <w:ind w:firstLine="440"/>
        <w:rPr>
          <w:rFonts w:ascii="宋体" w:hAnsi="宋体" w:cs="Calibri"/>
          <w:kern w:val="0"/>
          <w:sz w:val="22"/>
        </w:rPr>
      </w:pPr>
      <w:r>
        <w:rPr>
          <w:rFonts w:hint="eastAsia" w:ascii="宋体" w:hAnsi="宋体" w:cs="Calibri"/>
          <w:b/>
          <w:kern w:val="0"/>
          <w:sz w:val="22"/>
        </w:rPr>
        <w:t>如所有投标单位的报价均偏高，招标人将有可能否决所有投标重新招标。</w:t>
      </w:r>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6.4评标程序</w:t>
      </w:r>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6.4.1初步评审</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 xml:space="preserve"> （1）评标委员会依据下表规定的初步评审标准对投标文件进行初步评审，有一项不符合评审标准的，作废标处理。</w:t>
      </w:r>
    </w:p>
    <w:tbl>
      <w:tblPr>
        <w:tblStyle w:val="52"/>
        <w:tblW w:w="96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6"/>
        <w:gridCol w:w="983"/>
        <w:gridCol w:w="2550"/>
        <w:gridCol w:w="54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669" w:type="dxa"/>
            <w:gridSpan w:val="2"/>
            <w:tcBorders>
              <w:top w:val="single" w:color="auto" w:sz="4" w:space="0"/>
              <w:bottom w:val="single" w:color="auto" w:sz="4" w:space="0"/>
              <w:right w:val="single" w:color="auto" w:sz="4" w:space="0"/>
            </w:tcBorders>
            <w:vAlign w:val="center"/>
          </w:tcPr>
          <w:p>
            <w:pPr>
              <w:snapToGrid w:val="0"/>
              <w:jc w:val="center"/>
              <w:rPr>
                <w:rFonts w:asciiTheme="minorEastAsia" w:hAnsiTheme="minorEastAsia"/>
                <w:b/>
                <w:sz w:val="22"/>
              </w:rPr>
            </w:pPr>
            <w:r>
              <w:rPr>
                <w:rFonts w:hint="eastAsia" w:asciiTheme="minorEastAsia" w:hAnsiTheme="minorEastAsia"/>
                <w:b/>
                <w:sz w:val="22"/>
              </w:rPr>
              <w:t>序</w:t>
            </w:r>
            <w:r>
              <w:rPr>
                <w:rFonts w:asciiTheme="minorEastAsia" w:hAnsiTheme="minorEastAsia"/>
                <w:b/>
                <w:sz w:val="22"/>
              </w:rPr>
              <w:t>号</w:t>
            </w: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b/>
                <w:sz w:val="22"/>
              </w:rPr>
            </w:pPr>
            <w:r>
              <w:rPr>
                <w:rFonts w:asciiTheme="minorEastAsia" w:hAnsiTheme="minorEastAsia"/>
                <w:b/>
                <w:sz w:val="22"/>
              </w:rPr>
              <w:t>评审因素</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b/>
                <w:sz w:val="22"/>
              </w:rPr>
            </w:pPr>
            <w:r>
              <w:rPr>
                <w:rFonts w:asciiTheme="minorEastAsia" w:hAnsiTheme="minorEastAsia"/>
                <w:b/>
                <w:sz w:val="22"/>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restart"/>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hint="eastAsia" w:asciiTheme="minorEastAsia" w:hAnsiTheme="minorEastAsia"/>
                <w:sz w:val="22"/>
              </w:rPr>
              <w:t>1</w:t>
            </w:r>
          </w:p>
        </w:tc>
        <w:tc>
          <w:tcPr>
            <w:tcW w:w="983" w:type="dxa"/>
            <w:vMerge w:val="restart"/>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形式评审标准</w:t>
            </w: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投标人名称</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与营业执照、资质证书</w:t>
            </w:r>
            <w:r>
              <w:rPr>
                <w:rFonts w:hint="eastAsia" w:asciiTheme="minorEastAsia" w:hAnsiTheme="minorEastAsia"/>
                <w:sz w:val="22"/>
              </w:rPr>
              <w:t>、安全生产许可证</w:t>
            </w:r>
            <w:r>
              <w:rPr>
                <w:rFonts w:asciiTheme="minorEastAsia" w:hAnsiTheme="minorEastAsia"/>
                <w:sz w:val="22"/>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投标函签字盖章</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投标文件格式</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w:t>
            </w:r>
            <w:r>
              <w:rPr>
                <w:rFonts w:hint="eastAsia" w:asciiTheme="minorEastAsia" w:hAnsiTheme="minorEastAsia"/>
                <w:sz w:val="22"/>
              </w:rPr>
              <w:t>招标文件</w:t>
            </w:r>
            <w:r>
              <w:rPr>
                <w:rFonts w:asciiTheme="minorEastAsia" w:hAnsiTheme="minorEastAsia"/>
                <w:sz w:val="22"/>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报价唯一</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restart"/>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2</w:t>
            </w:r>
          </w:p>
        </w:tc>
        <w:tc>
          <w:tcPr>
            <w:tcW w:w="983" w:type="dxa"/>
            <w:vMerge w:val="restart"/>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资格评审标准</w:t>
            </w: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hint="eastAsia" w:asciiTheme="minorEastAsia" w:hAnsiTheme="minorEastAsia"/>
                <w:sz w:val="22"/>
              </w:rPr>
              <w:t>投标人</w:t>
            </w:r>
            <w:r>
              <w:rPr>
                <w:rFonts w:asciiTheme="minorEastAsia" w:hAnsiTheme="minorEastAsia"/>
                <w:sz w:val="22"/>
              </w:rPr>
              <w:t>资质等级</w:t>
            </w:r>
            <w:r>
              <w:rPr>
                <w:rFonts w:hint="eastAsia" w:asciiTheme="minorEastAsia" w:hAnsiTheme="minorEastAsia"/>
                <w:sz w:val="22"/>
              </w:rPr>
              <w:t>和业绩要求</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tcPr>
          <w:p>
            <w:pPr>
              <w:snapToGrid w:val="0"/>
              <w:jc w:val="center"/>
              <w:rPr>
                <w:rFonts w:asciiTheme="minorEastAsia" w:hAnsiTheme="minorEastAsia"/>
                <w:sz w:val="22"/>
              </w:rPr>
            </w:pPr>
            <w:r>
              <w:rPr>
                <w:rFonts w:hint="eastAsia" w:asciiTheme="minorEastAsia" w:hAnsiTheme="minorEastAsia"/>
                <w:sz w:val="22"/>
              </w:rPr>
              <w:t>安全生产许可证及三类人员证书</w:t>
            </w:r>
          </w:p>
        </w:tc>
        <w:tc>
          <w:tcPr>
            <w:tcW w:w="5409"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sz w:val="22"/>
              </w:rPr>
            </w:pPr>
            <w:r>
              <w:rPr>
                <w:rFonts w:hint="eastAsia" w:asciiTheme="minorEastAsia" w:hAnsiTheme="minorEastAsia"/>
                <w:sz w:val="22"/>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nil"/>
              <w:bottom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项目经理</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restart"/>
            <w:tcBorders>
              <w:top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3</w:t>
            </w:r>
          </w:p>
        </w:tc>
        <w:tc>
          <w:tcPr>
            <w:tcW w:w="983" w:type="dxa"/>
            <w:vMerge w:val="restart"/>
            <w:tcBorders>
              <w:top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响应性评审</w:t>
            </w:r>
          </w:p>
          <w:p>
            <w:pPr>
              <w:snapToGrid w:val="0"/>
              <w:jc w:val="center"/>
              <w:rPr>
                <w:rFonts w:asciiTheme="minorEastAsia" w:hAnsiTheme="minorEastAsia"/>
                <w:sz w:val="22"/>
              </w:rPr>
            </w:pPr>
            <w:r>
              <w:rPr>
                <w:rFonts w:asciiTheme="minorEastAsia" w:hAnsiTheme="minorEastAsia"/>
                <w:sz w:val="22"/>
              </w:rPr>
              <w:t>标准</w:t>
            </w: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hint="eastAsia" w:asciiTheme="minorEastAsia" w:hAnsiTheme="minorEastAsia"/>
                <w:sz w:val="22"/>
              </w:rPr>
              <w:t>投标报价</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符合第二章</w:t>
            </w:r>
            <w:r>
              <w:rPr>
                <w:rFonts w:hint="eastAsia" w:asciiTheme="minorEastAsia" w:hAnsiTheme="minorEastAsia"/>
                <w:sz w:val="22"/>
              </w:rPr>
              <w:t>“</w:t>
            </w:r>
            <w:r>
              <w:rPr>
                <w:rFonts w:ascii="宋体" w:hAnsi="宋体" w:cs="Calibri"/>
                <w:kern w:val="0"/>
                <w:sz w:val="22"/>
              </w:rPr>
              <w:t>投标人须知</w:t>
            </w:r>
            <w:r>
              <w:rPr>
                <w:rFonts w:hint="eastAsia" w:ascii="宋体" w:hAnsi="宋体" w:cs="Calibri"/>
                <w:kern w:val="0"/>
                <w:sz w:val="22"/>
              </w:rPr>
              <w:t>及评标办法”</w:t>
            </w:r>
            <w:r>
              <w:rPr>
                <w:rFonts w:asciiTheme="minorEastAsia" w:hAnsiTheme="minorEastAsia"/>
                <w:sz w:val="22"/>
              </w:rPr>
              <w:t>第</w:t>
            </w:r>
            <w:r>
              <w:rPr>
                <w:rFonts w:hint="eastAsia" w:asciiTheme="minorEastAsia" w:hAnsiTheme="minorEastAsia"/>
                <w:sz w:val="22"/>
              </w:rPr>
              <w:t>3</w:t>
            </w:r>
            <w:r>
              <w:rPr>
                <w:rFonts w:asciiTheme="minorEastAsia" w:hAnsiTheme="minorEastAsia"/>
                <w:sz w:val="22"/>
              </w:rPr>
              <w:t>.</w:t>
            </w:r>
            <w:r>
              <w:rPr>
                <w:rFonts w:hint="eastAsia" w:asciiTheme="minorEastAsia" w:hAnsiTheme="minorEastAsia"/>
                <w:sz w:val="22"/>
              </w:rPr>
              <w:t>3</w:t>
            </w:r>
            <w:r>
              <w:rPr>
                <w:rFonts w:asciiTheme="minorEastAsia" w:hAnsiTheme="minorEastAsia"/>
                <w:sz w:val="22"/>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top w:val="single" w:color="auto" w:sz="4" w:space="0"/>
              <w:right w:val="single" w:color="auto" w:sz="4" w:space="0"/>
            </w:tcBorders>
            <w:vAlign w:val="center"/>
          </w:tcPr>
          <w:p>
            <w:pPr>
              <w:snapToGrid w:val="0"/>
              <w:jc w:val="center"/>
              <w:rPr>
                <w:rFonts w:asciiTheme="minorEastAsia" w:hAnsiTheme="minorEastAsia"/>
                <w:sz w:val="22"/>
              </w:rPr>
            </w:pPr>
          </w:p>
        </w:tc>
        <w:tc>
          <w:tcPr>
            <w:tcW w:w="983" w:type="dxa"/>
            <w:vMerge w:val="continue"/>
            <w:tcBorders>
              <w:top w:val="single" w:color="auto" w:sz="4" w:space="0"/>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投标内容</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符合第二章</w:t>
            </w:r>
            <w:r>
              <w:rPr>
                <w:rFonts w:hint="eastAsia" w:asciiTheme="minorEastAsia" w:hAnsiTheme="minorEastAsia"/>
                <w:sz w:val="22"/>
              </w:rPr>
              <w:t>“</w:t>
            </w:r>
            <w:r>
              <w:rPr>
                <w:rFonts w:ascii="宋体" w:hAnsi="宋体" w:cs="Calibri"/>
                <w:kern w:val="0"/>
                <w:sz w:val="22"/>
              </w:rPr>
              <w:t>投标人须知</w:t>
            </w:r>
            <w:r>
              <w:rPr>
                <w:rFonts w:hint="eastAsia" w:ascii="宋体" w:hAnsi="宋体" w:cs="Calibri"/>
                <w:kern w:val="0"/>
                <w:sz w:val="22"/>
              </w:rPr>
              <w:t>及评标办法”</w:t>
            </w:r>
            <w:r>
              <w:rPr>
                <w:rFonts w:asciiTheme="minorEastAsia" w:hAnsiTheme="minorEastAsia"/>
                <w:sz w:val="22"/>
              </w:rPr>
              <w:t>第1.</w:t>
            </w:r>
            <w:r>
              <w:rPr>
                <w:rFonts w:hint="eastAsia" w:asciiTheme="minorEastAsia" w:hAnsiTheme="minorEastAsia"/>
                <w:sz w:val="22"/>
              </w:rPr>
              <w:t>3</w:t>
            </w:r>
            <w:r>
              <w:rPr>
                <w:rFonts w:asciiTheme="minorEastAsia" w:hAnsiTheme="minorEastAsia"/>
                <w:sz w:val="22"/>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工期</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符合第二章</w:t>
            </w:r>
            <w:r>
              <w:rPr>
                <w:rFonts w:hint="eastAsia" w:asciiTheme="minorEastAsia" w:hAnsiTheme="minorEastAsia"/>
                <w:sz w:val="22"/>
              </w:rPr>
              <w:t>“</w:t>
            </w:r>
            <w:r>
              <w:rPr>
                <w:rFonts w:ascii="宋体" w:hAnsi="宋体" w:cs="Calibri"/>
                <w:kern w:val="0"/>
                <w:sz w:val="22"/>
              </w:rPr>
              <w:t>投标人须知</w:t>
            </w:r>
            <w:r>
              <w:rPr>
                <w:rFonts w:hint="eastAsia" w:ascii="宋体" w:hAnsi="宋体" w:cs="Calibri"/>
                <w:kern w:val="0"/>
                <w:sz w:val="22"/>
              </w:rPr>
              <w:t>及评标办法”</w:t>
            </w:r>
            <w:r>
              <w:rPr>
                <w:rFonts w:asciiTheme="minorEastAsia" w:hAnsiTheme="minorEastAsia"/>
                <w:sz w:val="22"/>
              </w:rPr>
              <w:t>第</w:t>
            </w:r>
            <w:r>
              <w:rPr>
                <w:rFonts w:hint="eastAsia" w:asciiTheme="minorEastAsia" w:hAnsiTheme="minorEastAsia"/>
                <w:sz w:val="22"/>
              </w:rPr>
              <w:t>1.7</w:t>
            </w:r>
            <w:r>
              <w:rPr>
                <w:rFonts w:asciiTheme="minorEastAsia" w:hAnsiTheme="minorEastAsia"/>
                <w:sz w:val="22"/>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工程质量</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符合第二章</w:t>
            </w:r>
            <w:r>
              <w:rPr>
                <w:rFonts w:hint="eastAsia" w:asciiTheme="minorEastAsia" w:hAnsiTheme="minorEastAsia"/>
                <w:sz w:val="22"/>
              </w:rPr>
              <w:t>“</w:t>
            </w:r>
            <w:r>
              <w:rPr>
                <w:rFonts w:ascii="宋体" w:hAnsi="宋体" w:cs="Calibri"/>
                <w:kern w:val="0"/>
                <w:sz w:val="22"/>
              </w:rPr>
              <w:t>投标人须知</w:t>
            </w:r>
            <w:r>
              <w:rPr>
                <w:rFonts w:hint="eastAsia" w:ascii="宋体" w:hAnsi="宋体" w:cs="Calibri"/>
                <w:kern w:val="0"/>
                <w:sz w:val="22"/>
              </w:rPr>
              <w:t>及评标办法”</w:t>
            </w:r>
            <w:r>
              <w:rPr>
                <w:rFonts w:asciiTheme="minorEastAsia" w:hAnsiTheme="minorEastAsia"/>
                <w:sz w:val="22"/>
              </w:rPr>
              <w:t>第</w:t>
            </w:r>
            <w:r>
              <w:rPr>
                <w:rFonts w:hint="eastAsia" w:asciiTheme="minorEastAsia" w:hAnsiTheme="minorEastAsia"/>
                <w:sz w:val="22"/>
              </w:rPr>
              <w:t>1.8</w:t>
            </w:r>
            <w:r>
              <w:rPr>
                <w:rFonts w:asciiTheme="minorEastAsia" w:hAnsiTheme="minorEastAsia"/>
                <w:sz w:val="22"/>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权利义务</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w:t>
            </w:r>
            <w:r>
              <w:rPr>
                <w:rFonts w:hint="eastAsia" w:asciiTheme="minorEastAsia" w:hAnsiTheme="minorEastAsia"/>
                <w:sz w:val="22"/>
              </w:rPr>
              <w:t>三</w:t>
            </w:r>
            <w:r>
              <w:rPr>
                <w:rFonts w:asciiTheme="minorEastAsia" w:hAnsiTheme="minorEastAsia"/>
                <w:sz w:val="22"/>
              </w:rPr>
              <w:t>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已标价工程量清单</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asciiTheme="minorEastAsia" w:hAnsiTheme="minorEastAsia"/>
                <w:sz w:val="22"/>
              </w:rPr>
              <w:t>符合第二章</w:t>
            </w:r>
            <w:r>
              <w:rPr>
                <w:rFonts w:hint="eastAsia" w:asciiTheme="minorEastAsia" w:hAnsiTheme="minorEastAsia"/>
                <w:sz w:val="22"/>
              </w:rPr>
              <w:t>“</w:t>
            </w:r>
            <w:r>
              <w:rPr>
                <w:rFonts w:ascii="宋体" w:hAnsi="宋体" w:cs="Calibri"/>
                <w:kern w:val="0"/>
                <w:sz w:val="22"/>
              </w:rPr>
              <w:t>投标人须知</w:t>
            </w:r>
            <w:r>
              <w:rPr>
                <w:rFonts w:hint="eastAsia" w:ascii="宋体" w:hAnsi="宋体" w:cs="Calibri"/>
                <w:kern w:val="0"/>
                <w:sz w:val="22"/>
              </w:rPr>
              <w:t>及评标办法”</w:t>
            </w:r>
            <w:r>
              <w:rPr>
                <w:rFonts w:asciiTheme="minorEastAsia" w:hAnsiTheme="minorEastAsia"/>
                <w:sz w:val="22"/>
              </w:rPr>
              <w:t>第</w:t>
            </w:r>
            <w:r>
              <w:rPr>
                <w:rFonts w:hint="eastAsia" w:asciiTheme="minorEastAsia" w:hAnsiTheme="minorEastAsia"/>
                <w:sz w:val="22"/>
              </w:rPr>
              <w:t>3.3</w:t>
            </w:r>
            <w:r>
              <w:rPr>
                <w:rFonts w:asciiTheme="minorEastAsia" w:hAnsiTheme="minorEastAsia"/>
                <w:sz w:val="22"/>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restart"/>
            <w:tcBorders>
              <w:top w:val="single" w:color="auto" w:sz="4" w:space="0"/>
              <w:right w:val="single" w:color="auto" w:sz="4" w:space="0"/>
            </w:tcBorders>
            <w:vAlign w:val="center"/>
          </w:tcPr>
          <w:p>
            <w:pPr>
              <w:snapToGrid w:val="0"/>
              <w:ind w:firstLine="120"/>
              <w:rPr>
                <w:rFonts w:asciiTheme="minorEastAsia" w:hAnsiTheme="minorEastAsia"/>
                <w:sz w:val="22"/>
              </w:rPr>
            </w:pPr>
            <w:r>
              <w:rPr>
                <w:rFonts w:asciiTheme="minorEastAsia" w:hAnsiTheme="minorEastAsia"/>
                <w:sz w:val="22"/>
              </w:rPr>
              <w:t>.4</w:t>
            </w:r>
          </w:p>
        </w:tc>
        <w:tc>
          <w:tcPr>
            <w:tcW w:w="983" w:type="dxa"/>
            <w:vMerge w:val="restart"/>
            <w:tcBorders>
              <w:top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施工组织设计评审标准</w:t>
            </w: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质量管理体系与措施</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符合本工程要求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安全管理体系与措施</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符合本工程要求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hint="eastAsia" w:asciiTheme="minorEastAsia" w:hAnsiTheme="minorEastAsia"/>
                <w:sz w:val="22"/>
              </w:rPr>
              <w:t>环境保护管理体系与措施</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符合本工程要求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napToGrid w:val="0"/>
              <w:jc w:val="center"/>
              <w:rPr>
                <w:rFonts w:asciiTheme="minorEastAsia" w:hAnsiTheme="minorEastAsia"/>
                <w:sz w:val="22"/>
              </w:rPr>
            </w:pPr>
            <w:r>
              <w:rPr>
                <w:rFonts w:asciiTheme="minorEastAsia" w:hAnsiTheme="minorEastAsia"/>
                <w:sz w:val="22"/>
              </w:rPr>
              <w:t>工程进度计划与措施</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符合本工程要求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686" w:type="dxa"/>
            <w:vMerge w:val="continue"/>
            <w:tcBorders>
              <w:right w:val="single" w:color="auto" w:sz="4" w:space="0"/>
            </w:tcBorders>
            <w:vAlign w:val="center"/>
          </w:tcPr>
          <w:p>
            <w:pPr>
              <w:snapToGrid w:val="0"/>
              <w:jc w:val="center"/>
              <w:rPr>
                <w:rFonts w:asciiTheme="minorEastAsia" w:hAnsiTheme="minorEastAsia"/>
                <w:sz w:val="22"/>
              </w:rPr>
            </w:pPr>
          </w:p>
        </w:tc>
        <w:tc>
          <w:tcPr>
            <w:tcW w:w="983" w:type="dxa"/>
            <w:vMerge w:val="continue"/>
            <w:tcBorders>
              <w:right w:val="single" w:color="auto" w:sz="4" w:space="0"/>
            </w:tcBorders>
            <w:vAlign w:val="center"/>
          </w:tcPr>
          <w:p>
            <w:pPr>
              <w:snapToGrid w:val="0"/>
              <w:jc w:val="center"/>
              <w:rPr>
                <w:rFonts w:asciiTheme="minorEastAsia" w:hAnsiTheme="minorEastAsia"/>
                <w:sz w:val="22"/>
              </w:rPr>
            </w:pPr>
          </w:p>
        </w:tc>
        <w:tc>
          <w:tcPr>
            <w:tcW w:w="25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sz w:val="22"/>
              </w:rPr>
            </w:pPr>
            <w:r>
              <w:rPr>
                <w:rFonts w:asciiTheme="minorEastAsia" w:hAnsiTheme="minorEastAsia"/>
                <w:sz w:val="22"/>
              </w:rPr>
              <w:t>资源配备计划</w:t>
            </w:r>
          </w:p>
        </w:tc>
        <w:tc>
          <w:tcPr>
            <w:tcW w:w="5409" w:type="dxa"/>
            <w:tcBorders>
              <w:top w:val="single" w:color="auto" w:sz="4" w:space="0"/>
              <w:left w:val="single" w:color="auto" w:sz="4" w:space="0"/>
              <w:bottom w:val="single" w:color="auto" w:sz="4" w:space="0"/>
              <w:right w:val="single" w:color="auto" w:sz="4" w:space="0"/>
            </w:tcBorders>
            <w:vAlign w:val="center"/>
          </w:tcPr>
          <w:p>
            <w:pPr>
              <w:snapToGrid w:val="0"/>
              <w:rPr>
                <w:rFonts w:asciiTheme="minorEastAsia" w:hAnsiTheme="minorEastAsia"/>
                <w:sz w:val="22"/>
              </w:rPr>
            </w:pPr>
            <w:r>
              <w:rPr>
                <w:rFonts w:hint="eastAsia" w:asciiTheme="minorEastAsia" w:hAnsiTheme="minorEastAsia"/>
                <w:sz w:val="22"/>
              </w:rPr>
              <w:t>符合本工程要求</w:t>
            </w:r>
          </w:p>
        </w:tc>
      </w:tr>
    </w:tbl>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（2）投标人有以下情形之一的，其投标作废标处理：</w:t>
      </w:r>
    </w:p>
    <w:p>
      <w:pPr>
        <w:adjustRightInd w:val="0"/>
        <w:snapToGrid w:val="0"/>
        <w:spacing w:line="360" w:lineRule="exact"/>
        <w:ind w:firstLine="440"/>
        <w:rPr>
          <w:rFonts w:ascii="宋体" w:hAnsi="宋体" w:cs="Calibri"/>
          <w:kern w:val="0"/>
          <w:sz w:val="22"/>
        </w:rPr>
      </w:pPr>
      <w:r>
        <w:rPr>
          <w:rFonts w:ascii="宋体" w:hAnsi="宋体" w:cs="Calibri"/>
          <w:kern w:val="0"/>
          <w:sz w:val="22"/>
        </w:rPr>
        <w:t>a</w:t>
      </w:r>
      <w:r>
        <w:rPr>
          <w:rFonts w:hint="eastAsia" w:ascii="宋体" w:hAnsi="宋体" w:cs="Calibri"/>
          <w:kern w:val="0"/>
          <w:sz w:val="22"/>
        </w:rPr>
        <w:t>.串通投标或弄虚作假或有其他违法行为的；</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 xml:space="preserve">b.不按评标委员会要求澄清、说明或补正的。 </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（3）投标报价有算术错误的，评标委员会按以下原则对投标报价进行修正，修正的价格经投标人书面确认后具有约束力。投标人不接受修正价格的，其投标作废标处理。</w:t>
      </w:r>
    </w:p>
    <w:p>
      <w:pPr>
        <w:adjustRightInd w:val="0"/>
        <w:snapToGrid w:val="0"/>
        <w:spacing w:line="360" w:lineRule="exact"/>
        <w:ind w:firstLine="440"/>
        <w:rPr>
          <w:rFonts w:ascii="宋体" w:hAnsi="宋体" w:cs="Calibri"/>
          <w:kern w:val="0"/>
          <w:sz w:val="22"/>
        </w:rPr>
      </w:pPr>
      <w:r>
        <w:rPr>
          <w:rFonts w:ascii="宋体" w:hAnsi="宋体" w:cs="Calibri"/>
          <w:kern w:val="0"/>
          <w:sz w:val="22"/>
        </w:rPr>
        <w:t>a</w:t>
      </w:r>
      <w:r>
        <w:rPr>
          <w:rFonts w:hint="eastAsia" w:ascii="宋体" w:hAnsi="宋体" w:cs="Calibri"/>
          <w:kern w:val="0"/>
          <w:sz w:val="22"/>
        </w:rPr>
        <w:t>.投标文件中的大写金额与小写金额不一致的，以大写金额为准；</w:t>
      </w:r>
    </w:p>
    <w:p>
      <w:pPr>
        <w:adjustRightInd w:val="0"/>
        <w:snapToGrid w:val="0"/>
        <w:spacing w:line="360" w:lineRule="exact"/>
        <w:ind w:firstLine="440"/>
        <w:rPr>
          <w:rFonts w:ascii="宋体" w:hAnsi="宋体" w:cs="Calibri"/>
          <w:kern w:val="0"/>
          <w:sz w:val="22"/>
        </w:rPr>
      </w:pPr>
      <w:r>
        <w:rPr>
          <w:rFonts w:ascii="宋体" w:hAnsi="宋体" w:cs="Calibri"/>
          <w:kern w:val="0"/>
          <w:sz w:val="22"/>
        </w:rPr>
        <w:t>b</w:t>
      </w:r>
      <w:r>
        <w:rPr>
          <w:rFonts w:hint="eastAsia" w:ascii="宋体" w:hAnsi="宋体" w:cs="Calibri"/>
          <w:kern w:val="0"/>
          <w:sz w:val="22"/>
        </w:rPr>
        <w:t>.总价金额与依据单价计算出的结果不一致的，以单价金额为准修正总价，但单价金额小数点有明显错误的除外。</w:t>
      </w:r>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6.4.2 详细评审</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 xml:space="preserve"> 如商务报价中有以下情况之一的，按商务审查不合格处理：</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（1）投标人未按招标文件规定要求进行报价，拒绝修正不平衡报价，拒绝提供报价分析说明和证明材料的；</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（2）评标委员会认定属投标人自身原因有重大漏项的；</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（3）投标报价明显低于其他投标报价，使其投标报价可能低于其成本的，并投标人不能合理说明或者不能提供相应证明材料的；</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（4）如所有投标人的报价均偏高，招标人将重新组织招标。</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经评审后的有效标少于3家时，如果评标委员会认定其投标仍具有竞争性，可继续进行评审；否则，评标委员会可否决所有投标，本次招标失败，招标人将依法组织重新招标。</w:t>
      </w:r>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6.4.3 投标文件的澄清和补正</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（1）在评标过程中，评标委员会可以书面形式要求投标人对所提交的投标文件中不明确的内容进行书面澄清或说明，或者对细微偏差进行补 。评标委员会不接受投标人主动提出的澄清、说明或补正。</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（2）澄清、说明和补正不得改变投标文件的实质性内容（算术性错误修正的除外）。投标人的书面澄清、说明和补正属于投标文件的组成部分。</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（3）评标委员会对投标人提交的澄清、说明或补正有疑问的，可以要求投标人进一步澄清、说明或补正，直至满足评标委员会的要求。</w:t>
      </w:r>
    </w:p>
    <w:p>
      <w:pPr>
        <w:autoSpaceDE w:val="0"/>
        <w:autoSpaceDN w:val="0"/>
        <w:adjustRightInd w:val="0"/>
        <w:snapToGrid w:val="0"/>
        <w:spacing w:line="360" w:lineRule="exact"/>
        <w:rPr>
          <w:rFonts w:ascii="宋体" w:hAnsi="宋体" w:cs="Calibri"/>
          <w:b/>
          <w:bCs/>
          <w:kern w:val="0"/>
          <w:sz w:val="22"/>
        </w:rPr>
      </w:pPr>
      <w:bookmarkStart w:id="41" w:name="_Toc152042374"/>
      <w:bookmarkStart w:id="42" w:name="_Toc246392117"/>
      <w:bookmarkStart w:id="43" w:name="_Toc179632615"/>
      <w:bookmarkStart w:id="44" w:name="_Toc152045597"/>
      <w:bookmarkStart w:id="45" w:name="_Toc144974564"/>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w:t>
      </w:r>
      <w:r>
        <w:rPr>
          <w:rFonts w:ascii="宋体" w:hAnsi="宋体" w:cs="Calibri"/>
          <w:b/>
          <w:bCs/>
          <w:kern w:val="0"/>
          <w:sz w:val="22"/>
        </w:rPr>
        <w:t>4</w:t>
      </w:r>
      <w:r>
        <w:rPr>
          <w:rFonts w:hint="eastAsia" w:ascii="宋体" w:hAnsi="宋体" w:cs="Calibri"/>
          <w:b/>
          <w:bCs/>
          <w:kern w:val="0"/>
          <w:sz w:val="22"/>
        </w:rPr>
        <w:t>评分细则</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1、商务分：</w:t>
      </w:r>
      <w:r>
        <w:rPr>
          <w:rFonts w:ascii="宋体" w:hAnsi="宋体" w:cs="Calibri"/>
          <w:kern w:val="0"/>
          <w:sz w:val="22"/>
        </w:rPr>
        <w:t>20</w:t>
      </w:r>
      <w:r>
        <w:rPr>
          <w:rFonts w:hint="eastAsia" w:ascii="宋体" w:hAnsi="宋体" w:cs="Calibri"/>
          <w:kern w:val="0"/>
          <w:sz w:val="22"/>
        </w:rPr>
        <w:t>-</w:t>
      </w:r>
      <w:r>
        <w:rPr>
          <w:rFonts w:ascii="宋体" w:hAnsi="宋体" w:cs="Calibri"/>
          <w:kern w:val="0"/>
          <w:sz w:val="22"/>
        </w:rPr>
        <w:t>70</w:t>
      </w:r>
      <w:r>
        <w:rPr>
          <w:rFonts w:hint="eastAsia" w:ascii="宋体" w:hAnsi="宋体" w:cs="Calibri"/>
          <w:kern w:val="0"/>
          <w:sz w:val="22"/>
        </w:rPr>
        <w:t>分</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1）商务标评审应以报价口径范围一致的投标评标价为依据，投标评标价应在最终报价的基础上，按照招标文件约定的因素和方法进行计算。凡属招标文件的原因造成报价口径范围不一致的，应调整投标人报价，但因投标人自身失误造成多算、少算、漏算的，不得调整。</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（2）投标文件的商务评分为报价计算得分70分，由评标委员会指定专人计算并复核。</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报价评分应在投标报价响应招标文件要求的基础上，取所有有效投标报价的算数平均值与次低价的算数平均值作为评标基准价，如有效投标报价的数量小于4个，则评标基准价为所有有效投标报价的算数平均值与最低价的算数平均值。与基准价相等的为满分70分。投标总价每高于基准价1%，扣1分。投标总价每低于基准价1%，扣0.5分。此项分值由评标委员会统一计算打分。</w:t>
      </w:r>
    </w:p>
    <w:p>
      <w:pPr>
        <w:adjustRightInd w:val="0"/>
        <w:snapToGrid w:val="0"/>
        <w:spacing w:line="360" w:lineRule="exact"/>
        <w:rPr>
          <w:rFonts w:ascii="宋体" w:hAnsi="宋体" w:cs="Calibri"/>
          <w:kern w:val="0"/>
          <w:sz w:val="22"/>
        </w:rPr>
      </w:pPr>
      <w:r>
        <w:rPr>
          <w:rFonts w:hint="eastAsia" w:ascii="宋体" w:hAnsi="宋体" w:cs="Calibri"/>
          <w:kern w:val="0"/>
          <w:sz w:val="22"/>
        </w:rPr>
        <w:t>评分时保留小数2位，计算评分值时保留小数2位。报价得分不足</w:t>
      </w:r>
      <w:r>
        <w:rPr>
          <w:rFonts w:ascii="宋体" w:hAnsi="宋体" w:cs="Calibri"/>
          <w:kern w:val="0"/>
          <w:sz w:val="22"/>
        </w:rPr>
        <w:t>20</w:t>
      </w:r>
      <w:r>
        <w:rPr>
          <w:rFonts w:hint="eastAsia" w:ascii="宋体" w:hAnsi="宋体" w:cs="Calibri"/>
          <w:kern w:val="0"/>
          <w:sz w:val="22"/>
        </w:rPr>
        <w:t>分，给</w:t>
      </w:r>
      <w:r>
        <w:rPr>
          <w:rFonts w:ascii="宋体" w:hAnsi="宋体" w:cs="Calibri"/>
          <w:kern w:val="0"/>
          <w:sz w:val="22"/>
        </w:rPr>
        <w:t>20</w:t>
      </w:r>
      <w:r>
        <w:rPr>
          <w:rFonts w:hint="eastAsia" w:ascii="宋体" w:hAnsi="宋体" w:cs="Calibri"/>
          <w:kern w:val="0"/>
          <w:sz w:val="22"/>
        </w:rPr>
        <w:t>分。</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2、投标文件的技术标评审   12-</w:t>
      </w:r>
      <w:r>
        <w:rPr>
          <w:rFonts w:ascii="宋体" w:hAnsi="宋体" w:cs="Calibri"/>
          <w:kern w:val="0"/>
          <w:sz w:val="22"/>
        </w:rPr>
        <w:t>30</w:t>
      </w:r>
      <w:r>
        <w:rPr>
          <w:rFonts w:hint="eastAsia" w:ascii="宋体" w:hAnsi="宋体" w:cs="Calibri"/>
          <w:kern w:val="0"/>
          <w:sz w:val="22"/>
        </w:rPr>
        <w:t>分</w:t>
      </w:r>
    </w:p>
    <w:tbl>
      <w:tblPr>
        <w:tblStyle w:val="52"/>
        <w:tblW w:w="9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7"/>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b/>
                <w:sz w:val="22"/>
              </w:rPr>
            </w:pPr>
            <w:r>
              <w:rPr>
                <w:rFonts w:hint="eastAsia" w:ascii="宋体" w:hAnsi="宋体" w:eastAsia="宋体" w:cs="宋体"/>
                <w:b/>
                <w:sz w:val="22"/>
                <w:lang w:bidi="ar"/>
              </w:rPr>
              <w:t>评定项目</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b/>
                <w:sz w:val="22"/>
              </w:rPr>
            </w:pPr>
            <w:r>
              <w:rPr>
                <w:rFonts w:hint="eastAsia" w:ascii="宋体" w:hAnsi="宋体" w:eastAsia="宋体" w:cs="宋体"/>
                <w:b/>
                <w:sz w:val="22"/>
                <w:lang w:bidi="ar"/>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施工现场总平布置的合理性</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sz w:val="22"/>
              </w:rPr>
            </w:pPr>
            <w:r>
              <w:rPr>
                <w:rFonts w:hint="eastAsia" w:ascii="宋体" w:hAnsi="宋体" w:eastAsia="宋体" w:cs="宋体"/>
                <w:sz w:val="22"/>
                <w:lang w:bidi="ar"/>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施工质量的控制和检验手段是否科学、可靠；</w:t>
            </w:r>
          </w:p>
        </w:tc>
        <w:tc>
          <w:tcPr>
            <w:tcW w:w="1912" w:type="dxa"/>
            <w:tcBorders>
              <w:top w:val="single" w:color="auto" w:sz="4" w:space="0"/>
              <w:left w:val="single" w:color="auto" w:sz="4" w:space="0"/>
              <w:bottom w:val="single" w:color="auto" w:sz="4" w:space="0"/>
              <w:right w:val="single" w:color="auto" w:sz="4" w:space="0"/>
            </w:tcBorders>
            <w:shd w:val="clear" w:color="auto" w:fill="auto"/>
          </w:tcPr>
          <w:p>
            <w:pPr>
              <w:snapToGrid w:val="0"/>
              <w:jc w:val="center"/>
              <w:rPr>
                <w:rFonts w:ascii="宋体" w:hAnsi="宋体" w:eastAsia="宋体" w:cs="宋体"/>
                <w:sz w:val="22"/>
              </w:rPr>
            </w:pPr>
            <w:r>
              <w:rPr>
                <w:rFonts w:hint="eastAsia" w:ascii="宋体" w:hAnsi="宋体" w:eastAsia="宋体" w:cs="宋体"/>
                <w:sz w:val="22"/>
                <w:lang w:bidi="ar"/>
              </w:rPr>
              <w:t>2—4分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施工进度网络计划、关键节点的技术保证措施是否具有针对性和可行性</w:t>
            </w:r>
          </w:p>
        </w:tc>
        <w:tc>
          <w:tcPr>
            <w:tcW w:w="1912"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center"/>
              <w:rPr>
                <w:rFonts w:ascii="宋体" w:hAnsi="宋体" w:eastAsia="宋体" w:cs="宋体"/>
                <w:sz w:val="22"/>
                <w:szCs w:val="22"/>
              </w:rPr>
            </w:pPr>
            <w:r>
              <w:rPr>
                <w:rFonts w:hint="eastAsia" w:ascii="宋体" w:hAnsi="宋体" w:eastAsia="宋体" w:cs="宋体"/>
                <w:sz w:val="22"/>
                <w:szCs w:val="22"/>
                <w:lang w:bidi="ar"/>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工期承诺及组织保证措施的可行性、合理性</w:t>
            </w:r>
          </w:p>
        </w:tc>
        <w:tc>
          <w:tcPr>
            <w:tcW w:w="1912"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center"/>
              <w:rPr>
                <w:rFonts w:ascii="宋体" w:hAnsi="宋体" w:eastAsia="宋体" w:cs="宋体"/>
                <w:sz w:val="22"/>
                <w:szCs w:val="22"/>
              </w:rPr>
            </w:pPr>
            <w:r>
              <w:rPr>
                <w:rFonts w:hint="eastAsia" w:ascii="宋体" w:hAnsi="宋体" w:eastAsia="宋体" w:cs="宋体"/>
                <w:sz w:val="22"/>
                <w:szCs w:val="22"/>
                <w:lang w:bidi="ar"/>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原材料、半成品、外购件的质量保证措施是否可靠</w:t>
            </w:r>
          </w:p>
        </w:tc>
        <w:tc>
          <w:tcPr>
            <w:tcW w:w="1912" w:type="dxa"/>
            <w:tcBorders>
              <w:top w:val="single" w:color="auto" w:sz="4" w:space="0"/>
              <w:left w:val="single" w:color="auto" w:sz="4" w:space="0"/>
              <w:bottom w:val="single" w:color="auto" w:sz="4" w:space="0"/>
              <w:right w:val="single" w:color="auto" w:sz="4" w:space="0"/>
            </w:tcBorders>
            <w:shd w:val="clear" w:color="auto" w:fill="auto"/>
          </w:tcPr>
          <w:p>
            <w:pPr>
              <w:snapToGrid w:val="0"/>
              <w:jc w:val="center"/>
              <w:rPr>
                <w:rFonts w:ascii="宋体" w:hAnsi="宋体" w:eastAsia="宋体" w:cs="宋体"/>
                <w:sz w:val="22"/>
              </w:rPr>
            </w:pPr>
            <w:r>
              <w:rPr>
                <w:rFonts w:hint="eastAsia" w:ascii="宋体" w:hAnsi="宋体" w:eastAsia="宋体" w:cs="宋体"/>
                <w:sz w:val="22"/>
                <w:lang w:bidi="ar"/>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施工机具和检验仪器的投入是否能够满足工程质量和进度的要求</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b/>
                <w:sz w:val="22"/>
              </w:rPr>
            </w:pPr>
            <w:r>
              <w:rPr>
                <w:rFonts w:hint="eastAsia" w:ascii="宋体" w:hAnsi="宋体" w:eastAsia="宋体" w:cs="宋体"/>
                <w:sz w:val="22"/>
                <w:lang w:bidi="ar"/>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highlight w:val="yellow"/>
              </w:rPr>
            </w:pPr>
            <w:r>
              <w:rPr>
                <w:rFonts w:hint="eastAsia" w:ascii="宋体" w:hAnsi="宋体" w:eastAsia="宋体" w:cs="宋体"/>
                <w:sz w:val="22"/>
                <w:szCs w:val="22"/>
                <w:lang w:bidi="ar"/>
              </w:rPr>
              <w:t>各专业工种的配置和劳动力的投入是否能满足工程的需要</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sz w:val="22"/>
                <w:highlight w:val="yellow"/>
              </w:rPr>
            </w:pPr>
            <w:r>
              <w:rPr>
                <w:rFonts w:hint="eastAsia" w:ascii="宋体" w:hAnsi="宋体" w:eastAsia="宋体" w:cs="宋体"/>
                <w:sz w:val="22"/>
                <w:lang w:bidi="ar"/>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工程关键部位的施工方案及保证措施是否具有针对性、科学合理</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sz w:val="22"/>
                <w:highlight w:val="yellow"/>
              </w:rPr>
            </w:pPr>
            <w:r>
              <w:rPr>
                <w:rFonts w:hint="eastAsia" w:ascii="宋体" w:hAnsi="宋体" w:eastAsia="宋体" w:cs="宋体"/>
                <w:sz w:val="22"/>
                <w:lang w:bidi="ar"/>
              </w:rPr>
              <w:t>2—4分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安全、文明施工及市政、市容、环保、消防等的保证措施是否科学、合理、到位</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eastAsia="宋体" w:cs="宋体"/>
                <w:sz w:val="22"/>
                <w:highlight w:val="yellow"/>
              </w:rPr>
            </w:pPr>
            <w:r>
              <w:rPr>
                <w:rFonts w:hint="eastAsia" w:ascii="宋体" w:hAnsi="宋体" w:eastAsia="宋体" w:cs="宋体"/>
                <w:sz w:val="22"/>
                <w:lang w:bidi="ar"/>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807" w:type="dxa"/>
            <w:tcBorders>
              <w:top w:val="single" w:color="auto" w:sz="4" w:space="0"/>
              <w:left w:val="single" w:color="auto" w:sz="4" w:space="0"/>
              <w:bottom w:val="single" w:color="auto" w:sz="4" w:space="0"/>
              <w:right w:val="single" w:color="auto" w:sz="4" w:space="0"/>
            </w:tcBorders>
            <w:shd w:val="clear" w:color="auto" w:fill="auto"/>
          </w:tcPr>
          <w:p>
            <w:pPr>
              <w:pStyle w:val="46"/>
              <w:widowControl w:val="0"/>
              <w:adjustRightInd w:val="0"/>
              <w:snapToGrid w:val="0"/>
              <w:spacing w:before="0" w:beforeAutospacing="0" w:after="0" w:afterAutospacing="0" w:line="360" w:lineRule="atLeast"/>
              <w:jc w:val="both"/>
              <w:rPr>
                <w:rFonts w:ascii="宋体" w:hAnsi="宋体" w:eastAsia="宋体" w:cs="宋体"/>
                <w:sz w:val="22"/>
                <w:szCs w:val="22"/>
              </w:rPr>
            </w:pPr>
            <w:r>
              <w:rPr>
                <w:rFonts w:hint="eastAsia" w:ascii="宋体" w:hAnsi="宋体" w:eastAsia="宋体" w:cs="宋体"/>
                <w:sz w:val="22"/>
                <w:szCs w:val="22"/>
                <w:lang w:bidi="ar"/>
              </w:rPr>
              <w:t>项目班子配备力量及合理性、技术管理人员专业配置的全面合理性</w:t>
            </w:r>
          </w:p>
        </w:tc>
        <w:tc>
          <w:tcPr>
            <w:tcW w:w="1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ascii="宋体" w:hAnsi="宋体" w:eastAsia="宋体" w:cs="宋体"/>
                <w:sz w:val="22"/>
              </w:rPr>
            </w:pPr>
            <w:r>
              <w:rPr>
                <w:rFonts w:hint="eastAsia" w:ascii="宋体" w:hAnsi="宋体" w:eastAsia="宋体" w:cs="宋体"/>
                <w:sz w:val="22"/>
                <w:lang w:bidi="ar"/>
              </w:rPr>
              <w:t>1—3分</w:t>
            </w:r>
          </w:p>
        </w:tc>
      </w:tr>
    </w:tbl>
    <w:p>
      <w:pPr>
        <w:adjustRightInd w:val="0"/>
        <w:snapToGrid w:val="0"/>
        <w:spacing w:line="360" w:lineRule="exact"/>
        <w:ind w:firstLine="550" w:firstLineChars="250"/>
        <w:rPr>
          <w:rFonts w:ascii="宋体" w:hAnsi="宋体" w:cs="Calibri"/>
          <w:kern w:val="0"/>
          <w:sz w:val="22"/>
        </w:rPr>
      </w:pPr>
    </w:p>
    <w:p>
      <w:pPr>
        <w:adjustRightInd w:val="0"/>
        <w:snapToGrid w:val="0"/>
        <w:spacing w:line="360" w:lineRule="exact"/>
        <w:ind w:firstLine="440"/>
        <w:rPr>
          <w:rFonts w:ascii="宋体" w:hAnsi="宋体" w:cs="Calibri"/>
          <w:b/>
          <w:bCs/>
          <w:kern w:val="0"/>
          <w:sz w:val="22"/>
          <w:u w:val="single"/>
        </w:rPr>
      </w:pPr>
      <w:r>
        <w:rPr>
          <w:rFonts w:hint="eastAsia" w:ascii="宋体" w:hAnsi="宋体" w:cs="Calibri"/>
          <w:b/>
          <w:bCs/>
          <w:kern w:val="0"/>
          <w:sz w:val="22"/>
        </w:rPr>
        <w:t>本次招标设置投标控制价：</w:t>
      </w:r>
      <w:r>
        <w:rPr>
          <w:rFonts w:hint="eastAsia" w:ascii="宋体" w:hAnsi="宋体" w:cs="Calibri"/>
          <w:b/>
          <w:bCs/>
          <w:kern w:val="0"/>
          <w:sz w:val="22"/>
          <w:u w:val="single"/>
        </w:rPr>
        <w:t>18万元。</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如所有投标单位的报价均偏高，招标人将有可能否决所有投标重新招标。</w:t>
      </w:r>
    </w:p>
    <w:p>
      <w:pPr>
        <w:autoSpaceDE w:val="0"/>
        <w:autoSpaceDN w:val="0"/>
        <w:adjustRightInd w:val="0"/>
        <w:snapToGrid w:val="0"/>
        <w:spacing w:line="360" w:lineRule="exact"/>
        <w:rPr>
          <w:rFonts w:ascii="宋体" w:hAnsi="宋体" w:cs="Calibri"/>
          <w:b/>
          <w:bCs/>
          <w:kern w:val="0"/>
          <w:sz w:val="22"/>
        </w:rPr>
      </w:pPr>
    </w:p>
    <w:p>
      <w:pPr>
        <w:autoSpaceDE w:val="0"/>
        <w:autoSpaceDN w:val="0"/>
        <w:adjustRightInd w:val="0"/>
        <w:snapToGrid w:val="0"/>
        <w:spacing w:line="360" w:lineRule="exact"/>
        <w:rPr>
          <w:rFonts w:ascii="宋体" w:hAnsi="宋体" w:cs="Calibri"/>
          <w:b/>
          <w:bCs/>
          <w:kern w:val="0"/>
          <w:sz w:val="22"/>
        </w:rPr>
      </w:pPr>
      <w:r>
        <w:rPr>
          <w:rFonts w:hint="eastAsia" w:ascii="宋体" w:hAnsi="宋体" w:cs="Calibri"/>
          <w:b/>
          <w:bCs/>
          <w:kern w:val="0"/>
          <w:sz w:val="22"/>
        </w:rPr>
        <w:t>6.4.</w:t>
      </w:r>
      <w:r>
        <w:rPr>
          <w:rFonts w:ascii="宋体" w:hAnsi="宋体" w:cs="Calibri"/>
          <w:b/>
          <w:bCs/>
          <w:kern w:val="0"/>
          <w:sz w:val="22"/>
        </w:rPr>
        <w:t>5</w:t>
      </w:r>
      <w:r>
        <w:rPr>
          <w:rFonts w:hint="eastAsia" w:ascii="宋体" w:hAnsi="宋体" w:cs="Calibri"/>
          <w:b/>
          <w:bCs/>
          <w:kern w:val="0"/>
          <w:sz w:val="22"/>
        </w:rPr>
        <w:t>评标结果</w:t>
      </w:r>
      <w:bookmarkEnd w:id="41"/>
      <w:bookmarkEnd w:id="42"/>
      <w:bookmarkEnd w:id="43"/>
      <w:bookmarkEnd w:id="44"/>
      <w:bookmarkEnd w:id="45"/>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（1）能够满足招标文件的实质性要求，并且综合得分第一、第二的投标人，推荐为第一、第二中标候选人。</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（2）评标委员会完成评标后，应当向招标人提交书面评标报告。招标人收到评标报告后，进行评标结果公示，公示期3天。</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（3）</w:t>
      </w:r>
      <w:r>
        <w:rPr>
          <w:rFonts w:ascii="宋体" w:hAnsi="宋体" w:cs="Calibri"/>
          <w:kern w:val="0"/>
          <w:sz w:val="22"/>
        </w:rPr>
        <w:t>招标人将确定评标委员会推荐的</w:t>
      </w:r>
      <w:r>
        <w:rPr>
          <w:rFonts w:hint="eastAsia" w:ascii="宋体" w:hAnsi="宋体" w:cs="Calibri"/>
          <w:kern w:val="0"/>
          <w:sz w:val="22"/>
        </w:rPr>
        <w:t>第一</w:t>
      </w:r>
      <w:r>
        <w:rPr>
          <w:rFonts w:ascii="宋体" w:hAnsi="宋体" w:cs="Calibri"/>
          <w:kern w:val="0"/>
          <w:sz w:val="22"/>
        </w:rPr>
        <w:t>中标候选人为中标人。</w:t>
      </w:r>
      <w:r>
        <w:rPr>
          <w:rFonts w:hint="eastAsia" w:ascii="宋体" w:hAnsi="宋体" w:cs="Calibri"/>
          <w:kern w:val="0"/>
          <w:sz w:val="22"/>
        </w:rPr>
        <w:t>第一</w:t>
      </w:r>
      <w:r>
        <w:rPr>
          <w:rFonts w:ascii="宋体" w:hAnsi="宋体" w:cs="Calibri"/>
          <w:kern w:val="0"/>
          <w:sz w:val="22"/>
        </w:rPr>
        <w:t>中标候选人放弃中标、因不可抗力不能履行合同、不按照招标文件要求提交履约保证金，或者被查实存在影响中标结果的违法行为等情形，不符合中标条件的，招标人可以在其他中标候选人中按照推荐的排序确定中标人</w:t>
      </w:r>
      <w:r>
        <w:rPr>
          <w:rFonts w:hint="eastAsia" w:ascii="宋体" w:hAnsi="宋体" w:cs="Calibri"/>
          <w:kern w:val="0"/>
          <w:sz w:val="22"/>
        </w:rPr>
        <w:t>或</w:t>
      </w:r>
      <w:r>
        <w:rPr>
          <w:rFonts w:ascii="宋体" w:hAnsi="宋体" w:cs="Calibri"/>
          <w:kern w:val="0"/>
          <w:sz w:val="22"/>
        </w:rPr>
        <w:t>重新招标。</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（4）</w:t>
      </w:r>
      <w:r>
        <w:rPr>
          <w:rFonts w:ascii="宋体" w:hAnsi="宋体" w:cs="Calibri"/>
          <w:kern w:val="0"/>
          <w:sz w:val="22"/>
        </w:rPr>
        <w:t>中标候选人因不可抗力之外的原因放弃中标权的，必须按文件规定没收其投标保证金，没收的投标保证金不能弥补由于其放弃中标权而给招标人造成报价的差额部分，由放弃中标权的中标候选人承担。</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（5）</w:t>
      </w:r>
      <w:r>
        <w:rPr>
          <w:rFonts w:ascii="宋体" w:hAnsi="宋体" w:cs="Calibri"/>
          <w:kern w:val="0"/>
          <w:sz w:val="22"/>
        </w:rPr>
        <w:t>如发生投诉争议等情况时，经查实中标候选人存在违法、违规行为，不符合中标条件，且该行为在评标时是无法发现和确认的，招标人可以在其他中标候选人中按照推荐的排序确定中标人</w:t>
      </w:r>
      <w:r>
        <w:rPr>
          <w:rFonts w:hint="eastAsia" w:ascii="宋体" w:hAnsi="宋体" w:cs="Calibri"/>
          <w:kern w:val="0"/>
          <w:sz w:val="22"/>
        </w:rPr>
        <w:t>或</w:t>
      </w:r>
      <w:r>
        <w:rPr>
          <w:rFonts w:ascii="宋体" w:hAnsi="宋体" w:cs="Calibri"/>
          <w:kern w:val="0"/>
          <w:sz w:val="22"/>
        </w:rPr>
        <w:t>重新招标。</w:t>
      </w:r>
    </w:p>
    <w:p>
      <w:pPr>
        <w:adjustRightInd w:val="0"/>
        <w:snapToGrid w:val="0"/>
        <w:spacing w:line="360" w:lineRule="exact"/>
        <w:ind w:firstLine="440"/>
        <w:rPr>
          <w:rFonts w:ascii="宋体" w:hAnsi="宋体" w:cs="Calibri"/>
          <w:kern w:val="0"/>
          <w:sz w:val="22"/>
        </w:rPr>
      </w:pPr>
      <w:r>
        <w:rPr>
          <w:rFonts w:hint="eastAsia" w:ascii="宋体" w:hAnsi="宋体" w:cs="Calibri"/>
          <w:kern w:val="0"/>
          <w:sz w:val="22"/>
        </w:rPr>
        <w:t>（6）招标人对评标、定标结果不负责解释。</w:t>
      </w:r>
    </w:p>
    <w:p>
      <w:pPr>
        <w:autoSpaceDE w:val="0"/>
        <w:autoSpaceDN w:val="0"/>
        <w:adjustRightInd w:val="0"/>
        <w:snapToGrid w:val="0"/>
        <w:spacing w:line="360" w:lineRule="exact"/>
        <w:rPr>
          <w:rFonts w:ascii="宋体" w:hAnsi="宋体" w:cs="Calibri"/>
          <w:b/>
          <w:bCs/>
          <w:kern w:val="0"/>
          <w:sz w:val="22"/>
        </w:rPr>
      </w:pPr>
      <w:r>
        <w:rPr>
          <w:rFonts w:ascii="宋体" w:hAnsi="宋体" w:cs="Calibri"/>
          <w:b/>
          <w:bCs/>
          <w:kern w:val="0"/>
          <w:sz w:val="22"/>
        </w:rPr>
        <w:t>7.合同授予</w:t>
      </w:r>
    </w:p>
    <w:p>
      <w:pPr>
        <w:autoSpaceDE w:val="0"/>
        <w:autoSpaceDN w:val="0"/>
        <w:adjustRightInd w:val="0"/>
        <w:snapToGrid w:val="0"/>
        <w:spacing w:line="360" w:lineRule="exact"/>
        <w:rPr>
          <w:rFonts w:ascii="宋体" w:hAnsi="宋体" w:cs="Calibri"/>
          <w:b/>
          <w:bCs/>
          <w:kern w:val="0"/>
          <w:sz w:val="22"/>
        </w:rPr>
      </w:pPr>
      <w:bookmarkStart w:id="46" w:name="_Toc18809"/>
      <w:r>
        <w:rPr>
          <w:rFonts w:ascii="宋体" w:hAnsi="宋体" w:cs="Calibri"/>
          <w:b/>
          <w:bCs/>
          <w:kern w:val="0"/>
          <w:sz w:val="22"/>
        </w:rPr>
        <w:t>7.1 定标方式</w:t>
      </w:r>
      <w:bookmarkEnd w:id="46"/>
    </w:p>
    <w:p>
      <w:pPr>
        <w:adjustRightInd w:val="0"/>
        <w:snapToGrid w:val="0"/>
        <w:spacing w:line="360" w:lineRule="exact"/>
        <w:ind w:firstLine="440"/>
        <w:rPr>
          <w:rFonts w:ascii="宋体" w:hAnsi="宋体" w:cs="Calibri"/>
          <w:sz w:val="22"/>
        </w:rPr>
      </w:pPr>
      <w:r>
        <w:rPr>
          <w:rFonts w:ascii="宋体" w:hAnsi="宋体" w:cs="Calibri"/>
          <w:sz w:val="22"/>
        </w:rPr>
        <w:t>除投标人须知前附表规定评标委员会直接确定中标人外，招标人依据评标委员会推荐的中标候选人确定中标人，评标委员会推荐中标候选人的人数见投标人须知前附表。</w:t>
      </w:r>
    </w:p>
    <w:p>
      <w:pPr>
        <w:autoSpaceDE w:val="0"/>
        <w:autoSpaceDN w:val="0"/>
        <w:adjustRightInd w:val="0"/>
        <w:snapToGrid w:val="0"/>
        <w:spacing w:line="360" w:lineRule="exact"/>
        <w:rPr>
          <w:rFonts w:ascii="宋体" w:hAnsi="宋体" w:cs="Calibri"/>
          <w:b/>
          <w:bCs/>
          <w:kern w:val="0"/>
          <w:sz w:val="22"/>
        </w:rPr>
      </w:pPr>
      <w:bookmarkStart w:id="47" w:name="_Toc14573"/>
      <w:r>
        <w:rPr>
          <w:rFonts w:ascii="宋体" w:hAnsi="宋体" w:cs="Calibri"/>
          <w:b/>
          <w:bCs/>
          <w:kern w:val="0"/>
          <w:sz w:val="22"/>
        </w:rPr>
        <w:t>7.2 中标通知</w:t>
      </w:r>
      <w:bookmarkEnd w:id="47"/>
    </w:p>
    <w:p>
      <w:pPr>
        <w:adjustRightInd w:val="0"/>
        <w:snapToGrid w:val="0"/>
        <w:spacing w:line="360" w:lineRule="exact"/>
        <w:ind w:firstLine="440"/>
        <w:rPr>
          <w:rFonts w:ascii="宋体" w:hAnsi="宋体" w:cs="Calibri"/>
          <w:kern w:val="0"/>
          <w:sz w:val="22"/>
        </w:rPr>
      </w:pPr>
      <w:r>
        <w:rPr>
          <w:rFonts w:ascii="宋体" w:hAnsi="宋体" w:cs="Calibri"/>
          <w:kern w:val="0"/>
          <w:sz w:val="22"/>
        </w:rPr>
        <w:t>在投标人须知第3.4款规定的投标有效期内，招标人以书面形式向中标人发出中标通知书，同时将中标结果通知未中标的投标人。</w:t>
      </w:r>
    </w:p>
    <w:p>
      <w:pPr>
        <w:autoSpaceDE w:val="0"/>
        <w:autoSpaceDN w:val="0"/>
        <w:adjustRightInd w:val="0"/>
        <w:snapToGrid w:val="0"/>
        <w:spacing w:line="360" w:lineRule="exact"/>
        <w:rPr>
          <w:rFonts w:ascii="宋体" w:hAnsi="宋体" w:cs="Calibri"/>
          <w:b/>
          <w:bCs/>
          <w:kern w:val="0"/>
          <w:sz w:val="22"/>
        </w:rPr>
      </w:pPr>
      <w:bookmarkStart w:id="48" w:name="_Toc27132"/>
      <w:r>
        <w:rPr>
          <w:rFonts w:ascii="宋体" w:hAnsi="宋体" w:cs="Calibri"/>
          <w:b/>
          <w:bCs/>
          <w:kern w:val="0"/>
          <w:sz w:val="22"/>
        </w:rPr>
        <w:t>7.3 履约</w:t>
      </w:r>
      <w:r>
        <w:rPr>
          <w:rFonts w:hint="eastAsia" w:ascii="宋体" w:hAnsi="宋体" w:cs="Calibri"/>
          <w:b/>
          <w:bCs/>
          <w:kern w:val="0"/>
          <w:sz w:val="22"/>
        </w:rPr>
        <w:t>保证金</w:t>
      </w:r>
      <w:bookmarkEnd w:id="48"/>
    </w:p>
    <w:p>
      <w:pPr>
        <w:adjustRightInd w:val="0"/>
        <w:snapToGrid w:val="0"/>
        <w:spacing w:line="360" w:lineRule="exact"/>
        <w:ind w:firstLine="440"/>
        <w:rPr>
          <w:rFonts w:ascii="宋体" w:hAnsi="宋体" w:cs="Calibri"/>
          <w:kern w:val="0"/>
          <w:sz w:val="22"/>
        </w:rPr>
      </w:pPr>
      <w:r>
        <w:rPr>
          <w:rFonts w:ascii="宋体" w:hAnsi="宋体" w:cs="Calibri"/>
          <w:kern w:val="0"/>
          <w:sz w:val="22"/>
        </w:rPr>
        <w:t>7.3.1在签订合同前，中标人应按投标人须知前附表规定的金额</w:t>
      </w:r>
      <w:r>
        <w:rPr>
          <w:rFonts w:hint="eastAsia" w:ascii="宋体" w:hAnsi="宋体" w:cs="Calibri"/>
          <w:kern w:val="0"/>
          <w:sz w:val="22"/>
        </w:rPr>
        <w:t>和</w:t>
      </w:r>
      <w:r>
        <w:rPr>
          <w:rFonts w:ascii="宋体" w:hAnsi="宋体" w:cs="Calibri"/>
          <w:kern w:val="0"/>
          <w:sz w:val="22"/>
        </w:rPr>
        <w:t>担保形式向招标人提交履约</w:t>
      </w:r>
      <w:r>
        <w:rPr>
          <w:rFonts w:hint="eastAsia" w:ascii="宋体" w:hAnsi="宋体" w:cs="Calibri"/>
          <w:kern w:val="0"/>
          <w:sz w:val="22"/>
        </w:rPr>
        <w:t>保证金</w:t>
      </w:r>
      <w:r>
        <w:rPr>
          <w:rFonts w:ascii="宋体" w:hAnsi="宋体" w:cs="Calibri"/>
          <w:kern w:val="0"/>
          <w:sz w:val="22"/>
        </w:rPr>
        <w:t>。</w:t>
      </w:r>
    </w:p>
    <w:p>
      <w:pPr>
        <w:adjustRightInd w:val="0"/>
        <w:snapToGrid w:val="0"/>
        <w:spacing w:line="360" w:lineRule="exact"/>
        <w:ind w:firstLine="440"/>
        <w:rPr>
          <w:rFonts w:ascii="宋体" w:hAnsi="宋体" w:cs="Calibri"/>
          <w:kern w:val="0"/>
          <w:sz w:val="22"/>
        </w:rPr>
      </w:pPr>
      <w:r>
        <w:rPr>
          <w:rFonts w:ascii="宋体" w:hAnsi="宋体" w:cs="Calibri"/>
          <w:kern w:val="0"/>
          <w:sz w:val="22"/>
        </w:rPr>
        <w:t>7.3.2 中标人不能按本章第7.3.1项要求提交履约</w:t>
      </w:r>
      <w:r>
        <w:rPr>
          <w:rFonts w:hint="eastAsia" w:ascii="宋体" w:hAnsi="宋体" w:cs="Calibri"/>
          <w:kern w:val="0"/>
          <w:sz w:val="22"/>
        </w:rPr>
        <w:t>保证金</w:t>
      </w:r>
      <w:r>
        <w:rPr>
          <w:rFonts w:ascii="宋体" w:hAnsi="宋体" w:cs="Calibri"/>
          <w:kern w:val="0"/>
          <w:sz w:val="22"/>
        </w:rPr>
        <w:t>的，视为放弃中标，其投标保证金不予退还，给招标人造成的损失超过投标保证金数额的，中标人还应当对超过部分予以赔偿。</w:t>
      </w:r>
    </w:p>
    <w:p>
      <w:pPr>
        <w:autoSpaceDE w:val="0"/>
        <w:autoSpaceDN w:val="0"/>
        <w:adjustRightInd w:val="0"/>
        <w:snapToGrid w:val="0"/>
        <w:spacing w:line="360" w:lineRule="exact"/>
        <w:rPr>
          <w:rFonts w:ascii="宋体" w:hAnsi="宋体" w:cs="Calibri"/>
          <w:b/>
          <w:bCs/>
          <w:kern w:val="0"/>
          <w:sz w:val="22"/>
        </w:rPr>
      </w:pPr>
      <w:bookmarkStart w:id="49" w:name="_Toc27581"/>
      <w:r>
        <w:rPr>
          <w:rFonts w:ascii="宋体" w:hAnsi="宋体" w:cs="Calibri"/>
          <w:b/>
          <w:bCs/>
          <w:kern w:val="0"/>
          <w:sz w:val="22"/>
        </w:rPr>
        <w:t>7.4 签订合同</w:t>
      </w:r>
      <w:bookmarkEnd w:id="49"/>
    </w:p>
    <w:p>
      <w:pPr>
        <w:adjustRightInd w:val="0"/>
        <w:snapToGrid w:val="0"/>
        <w:spacing w:line="360" w:lineRule="exact"/>
        <w:ind w:firstLine="440"/>
        <w:rPr>
          <w:rFonts w:ascii="宋体" w:hAnsi="宋体" w:cs="Calibri"/>
          <w:kern w:val="0"/>
          <w:sz w:val="22"/>
        </w:rPr>
      </w:pPr>
      <w:r>
        <w:rPr>
          <w:rFonts w:ascii="宋体" w:hAnsi="宋体" w:cs="Calibri"/>
          <w:sz w:val="22"/>
        </w:rPr>
        <w:t>7</w:t>
      </w:r>
      <w:bookmarkStart w:id="50" w:name="_Toc11806"/>
      <w:bookmarkStart w:id="51" w:name="_Toc220123241"/>
      <w:bookmarkStart w:id="52" w:name="_Toc219809801"/>
      <w:r>
        <w:rPr>
          <w:rFonts w:ascii="宋体" w:hAnsi="宋体" w:cs="Calibri"/>
          <w:kern w:val="0"/>
          <w:sz w:val="22"/>
        </w:rPr>
        <w:t>.4.1招标人和中标人应当自中标通知书发出之日起30个工作日内订立书面</w:t>
      </w:r>
      <w:r>
        <w:rPr>
          <w:rFonts w:hint="eastAsia" w:ascii="宋体" w:hAnsi="宋体" w:cs="Calibri"/>
          <w:kern w:val="0"/>
          <w:sz w:val="22"/>
        </w:rPr>
        <w:t>施工合同</w:t>
      </w:r>
      <w:r>
        <w:rPr>
          <w:rFonts w:ascii="宋体" w:hAnsi="宋体" w:cs="Calibri"/>
          <w:kern w:val="0"/>
          <w:sz w:val="22"/>
        </w:rPr>
        <w:t>（合同条款按第</w:t>
      </w:r>
      <w:r>
        <w:rPr>
          <w:rFonts w:hint="eastAsia" w:ascii="宋体" w:hAnsi="宋体" w:cs="Calibri"/>
          <w:kern w:val="0"/>
          <w:sz w:val="22"/>
        </w:rPr>
        <w:t>三</w:t>
      </w:r>
      <w:r>
        <w:rPr>
          <w:rFonts w:ascii="宋体" w:hAnsi="宋体" w:cs="Calibri"/>
          <w:kern w:val="0"/>
          <w:sz w:val="22"/>
        </w:rPr>
        <w:t>章</w:t>
      </w:r>
      <w:r>
        <w:rPr>
          <w:rFonts w:hint="eastAsia" w:ascii="宋体" w:hAnsi="宋体" w:cs="Calibri"/>
          <w:kern w:val="0"/>
          <w:sz w:val="22"/>
        </w:rPr>
        <w:t>“</w:t>
      </w:r>
      <w:r>
        <w:rPr>
          <w:rFonts w:ascii="宋体" w:hAnsi="宋体" w:cs="Calibri"/>
          <w:kern w:val="0"/>
          <w:sz w:val="22"/>
        </w:rPr>
        <w:t>合同条款</w:t>
      </w:r>
      <w:r>
        <w:rPr>
          <w:rFonts w:hint="eastAsia" w:ascii="宋体" w:hAnsi="宋体" w:cs="Calibri"/>
          <w:kern w:val="0"/>
          <w:sz w:val="22"/>
        </w:rPr>
        <w:t>及格式”</w:t>
      </w:r>
      <w:r>
        <w:rPr>
          <w:rFonts w:ascii="宋体" w:hAnsi="宋体" w:cs="Calibri"/>
          <w:kern w:val="0"/>
          <w:sz w:val="22"/>
        </w:rPr>
        <w:t>）。中标人无正当理由拒签</w:t>
      </w:r>
      <w:r>
        <w:rPr>
          <w:rFonts w:hint="eastAsia" w:ascii="宋体" w:hAnsi="宋体" w:cs="Calibri"/>
          <w:kern w:val="0"/>
          <w:sz w:val="22"/>
        </w:rPr>
        <w:t>合同</w:t>
      </w:r>
      <w:r>
        <w:rPr>
          <w:rFonts w:ascii="宋体" w:hAnsi="宋体" w:cs="Calibri"/>
          <w:kern w:val="0"/>
          <w:sz w:val="22"/>
        </w:rPr>
        <w:t>的，招标人取消其中标资格，其投标保证金不予退还；给招标人造成的损失超过投标保证金数额的，中标人还应当对超过部分予以赔偿。</w:t>
      </w:r>
    </w:p>
    <w:p>
      <w:pPr>
        <w:adjustRightInd w:val="0"/>
        <w:snapToGrid w:val="0"/>
        <w:spacing w:line="360" w:lineRule="exact"/>
        <w:ind w:firstLine="440"/>
        <w:rPr>
          <w:rFonts w:ascii="宋体" w:hAnsi="宋体" w:cs="Calibri"/>
          <w:kern w:val="0"/>
          <w:sz w:val="22"/>
        </w:rPr>
      </w:pPr>
      <w:r>
        <w:rPr>
          <w:rFonts w:ascii="宋体" w:hAnsi="宋体" w:cs="Calibri"/>
          <w:kern w:val="0"/>
          <w:sz w:val="22"/>
        </w:rPr>
        <w:t>7.4.2 发出中标通知书后，招标人无正当理由拒签合同的，招标人向中标人退还投标保证金；给中标人造成损失的，还应当赔偿损失。</w:t>
      </w:r>
    </w:p>
    <w:p>
      <w:pPr>
        <w:autoSpaceDE w:val="0"/>
        <w:autoSpaceDN w:val="0"/>
        <w:adjustRightInd w:val="0"/>
        <w:snapToGrid w:val="0"/>
        <w:spacing w:line="360" w:lineRule="exact"/>
        <w:rPr>
          <w:rFonts w:ascii="宋体" w:hAnsi="宋体" w:cs="Calibri"/>
          <w:b/>
          <w:bCs/>
          <w:kern w:val="0"/>
          <w:sz w:val="22"/>
        </w:rPr>
      </w:pPr>
      <w:r>
        <w:rPr>
          <w:rFonts w:ascii="宋体" w:hAnsi="宋体" w:cs="Calibri"/>
          <w:b/>
          <w:bCs/>
          <w:kern w:val="0"/>
          <w:sz w:val="22"/>
        </w:rPr>
        <w:t>8.重新招标和不再招标</w:t>
      </w:r>
      <w:bookmarkEnd w:id="50"/>
      <w:bookmarkEnd w:id="51"/>
      <w:bookmarkEnd w:id="52"/>
    </w:p>
    <w:p>
      <w:pPr>
        <w:autoSpaceDE w:val="0"/>
        <w:autoSpaceDN w:val="0"/>
        <w:adjustRightInd w:val="0"/>
        <w:snapToGrid w:val="0"/>
        <w:spacing w:line="360" w:lineRule="exact"/>
        <w:rPr>
          <w:rFonts w:ascii="宋体" w:hAnsi="宋体" w:cs="Calibri"/>
          <w:b/>
          <w:bCs/>
          <w:kern w:val="0"/>
          <w:sz w:val="22"/>
        </w:rPr>
      </w:pPr>
      <w:bookmarkStart w:id="53" w:name="_Toc219809802"/>
      <w:bookmarkStart w:id="54" w:name="_Toc220123242"/>
      <w:bookmarkStart w:id="55" w:name="_Toc15553"/>
      <w:r>
        <w:rPr>
          <w:rFonts w:ascii="宋体" w:hAnsi="宋体" w:cs="Calibri"/>
          <w:b/>
          <w:bCs/>
          <w:kern w:val="0"/>
          <w:sz w:val="22"/>
        </w:rPr>
        <w:t>8.1 重新招标</w:t>
      </w:r>
      <w:bookmarkEnd w:id="53"/>
      <w:bookmarkEnd w:id="54"/>
      <w:bookmarkEnd w:id="55"/>
    </w:p>
    <w:p>
      <w:pPr>
        <w:adjustRightInd w:val="0"/>
        <w:snapToGrid w:val="0"/>
        <w:spacing w:line="360" w:lineRule="exact"/>
        <w:ind w:firstLine="440"/>
        <w:rPr>
          <w:rFonts w:ascii="宋体" w:hAnsi="宋体" w:cs="Calibri"/>
          <w:sz w:val="22"/>
        </w:rPr>
      </w:pPr>
      <w:r>
        <w:rPr>
          <w:rFonts w:ascii="宋体" w:hAnsi="宋体" w:cs="Calibri"/>
          <w:sz w:val="22"/>
        </w:rPr>
        <w:t>有下列情形之一的，招标人将重新招标；</w:t>
      </w:r>
    </w:p>
    <w:p>
      <w:pPr>
        <w:adjustRightInd w:val="0"/>
        <w:snapToGrid w:val="0"/>
        <w:spacing w:line="360" w:lineRule="exact"/>
        <w:ind w:firstLine="440"/>
        <w:rPr>
          <w:rFonts w:ascii="宋体" w:hAnsi="宋体" w:cs="Calibri"/>
          <w:kern w:val="0"/>
          <w:sz w:val="22"/>
        </w:rPr>
      </w:pPr>
      <w:r>
        <w:rPr>
          <w:rFonts w:ascii="宋体" w:hAnsi="宋体" w:cs="Calibri"/>
          <w:kern w:val="0"/>
          <w:sz w:val="22"/>
        </w:rPr>
        <w:t>（1）投标截止时间止，投标人少于3个的；</w:t>
      </w:r>
    </w:p>
    <w:p>
      <w:pPr>
        <w:adjustRightInd w:val="0"/>
        <w:snapToGrid w:val="0"/>
        <w:spacing w:line="360" w:lineRule="exact"/>
        <w:ind w:firstLine="476"/>
        <w:rPr>
          <w:rFonts w:ascii="宋体" w:hAnsi="宋体" w:cs="Calibri"/>
          <w:b/>
          <w:kern w:val="0"/>
          <w:sz w:val="22"/>
        </w:rPr>
      </w:pPr>
      <w:r>
        <w:rPr>
          <w:rFonts w:ascii="宋体" w:hAnsi="宋体" w:cs="Calibri"/>
          <w:b/>
          <w:kern w:val="0"/>
          <w:sz w:val="22"/>
        </w:rPr>
        <w:t>（2）</w:t>
      </w:r>
      <w:r>
        <w:rPr>
          <w:rFonts w:hint="eastAsia" w:ascii="宋体" w:hAnsi="宋体" w:cs="Calibri"/>
          <w:b/>
          <w:kern w:val="0"/>
          <w:sz w:val="22"/>
        </w:rPr>
        <w:t>所有投标人的报价均偏高，招标人无法接受的；</w:t>
      </w:r>
    </w:p>
    <w:p>
      <w:pPr>
        <w:adjustRightInd w:val="0"/>
        <w:snapToGrid w:val="0"/>
        <w:spacing w:line="360" w:lineRule="exact"/>
        <w:ind w:firstLine="440"/>
        <w:rPr>
          <w:rFonts w:ascii="宋体" w:hAnsi="宋体" w:cs="Calibri"/>
          <w:sz w:val="22"/>
        </w:rPr>
      </w:pPr>
      <w:r>
        <w:rPr>
          <w:rFonts w:ascii="宋体" w:hAnsi="宋体" w:cs="Calibri"/>
          <w:kern w:val="0"/>
          <w:sz w:val="22"/>
        </w:rPr>
        <w:t>（</w:t>
      </w:r>
      <w:r>
        <w:rPr>
          <w:rFonts w:hint="eastAsia" w:ascii="宋体" w:hAnsi="宋体" w:cs="Calibri"/>
          <w:kern w:val="0"/>
          <w:sz w:val="22"/>
        </w:rPr>
        <w:t>3</w:t>
      </w:r>
      <w:r>
        <w:rPr>
          <w:rFonts w:ascii="宋体" w:hAnsi="宋体" w:cs="Calibri"/>
          <w:kern w:val="0"/>
          <w:sz w:val="22"/>
        </w:rPr>
        <w:t>）经评标委员会评审后否决所有投标的。</w:t>
      </w:r>
    </w:p>
    <w:p>
      <w:pPr>
        <w:autoSpaceDE w:val="0"/>
        <w:autoSpaceDN w:val="0"/>
        <w:adjustRightInd w:val="0"/>
        <w:snapToGrid w:val="0"/>
        <w:spacing w:line="360" w:lineRule="exact"/>
        <w:rPr>
          <w:rFonts w:ascii="宋体" w:hAnsi="宋体" w:cs="Calibri"/>
          <w:b/>
          <w:bCs/>
          <w:kern w:val="0"/>
          <w:sz w:val="22"/>
        </w:rPr>
      </w:pPr>
      <w:bookmarkStart w:id="56" w:name="_Toc219809803"/>
      <w:bookmarkStart w:id="57" w:name="_Toc220123243"/>
      <w:bookmarkStart w:id="58" w:name="_Toc18806"/>
      <w:r>
        <w:rPr>
          <w:rFonts w:ascii="宋体" w:hAnsi="宋体" w:cs="Calibri"/>
          <w:b/>
          <w:bCs/>
          <w:kern w:val="0"/>
          <w:sz w:val="22"/>
        </w:rPr>
        <w:t>8.2 不再招标</w:t>
      </w:r>
      <w:bookmarkEnd w:id="56"/>
      <w:bookmarkEnd w:id="57"/>
      <w:bookmarkEnd w:id="58"/>
    </w:p>
    <w:p>
      <w:pPr>
        <w:adjustRightInd w:val="0"/>
        <w:snapToGrid w:val="0"/>
        <w:spacing w:line="360" w:lineRule="exact"/>
        <w:ind w:firstLine="440"/>
        <w:rPr>
          <w:rFonts w:ascii="宋体" w:hAnsi="宋体" w:cs="Calibri"/>
          <w:sz w:val="22"/>
        </w:rPr>
      </w:pPr>
      <w:r>
        <w:rPr>
          <w:rFonts w:ascii="宋体" w:hAnsi="宋体" w:cs="Calibri"/>
          <w:sz w:val="22"/>
        </w:rPr>
        <w:t>重新招标后投标人仍少于3个或者所有投标被否决的，经批准后不再进行招标。</w:t>
      </w:r>
    </w:p>
    <w:p>
      <w:pPr>
        <w:autoSpaceDE w:val="0"/>
        <w:autoSpaceDN w:val="0"/>
        <w:adjustRightInd w:val="0"/>
        <w:snapToGrid w:val="0"/>
        <w:spacing w:line="360" w:lineRule="exact"/>
        <w:rPr>
          <w:rFonts w:ascii="宋体" w:hAnsi="宋体" w:cs="Calibri"/>
          <w:b/>
          <w:bCs/>
          <w:kern w:val="0"/>
          <w:sz w:val="22"/>
        </w:rPr>
      </w:pPr>
      <w:bookmarkStart w:id="59" w:name="_Toc215941254"/>
      <w:bookmarkStart w:id="60" w:name="_Toc2986"/>
      <w:bookmarkStart w:id="61" w:name="_Toc220123244"/>
      <w:bookmarkStart w:id="62" w:name="_Toc219809804"/>
      <w:r>
        <w:rPr>
          <w:rFonts w:ascii="宋体" w:hAnsi="宋体" w:cs="Calibri"/>
          <w:b/>
          <w:bCs/>
          <w:kern w:val="0"/>
          <w:sz w:val="22"/>
        </w:rPr>
        <w:t>9.纪律和监督</w:t>
      </w:r>
      <w:bookmarkEnd w:id="59"/>
      <w:bookmarkEnd w:id="60"/>
      <w:bookmarkEnd w:id="61"/>
      <w:bookmarkEnd w:id="62"/>
    </w:p>
    <w:p>
      <w:pPr>
        <w:autoSpaceDE w:val="0"/>
        <w:autoSpaceDN w:val="0"/>
        <w:adjustRightInd w:val="0"/>
        <w:snapToGrid w:val="0"/>
        <w:spacing w:line="360" w:lineRule="exact"/>
        <w:rPr>
          <w:rFonts w:ascii="宋体" w:hAnsi="宋体" w:cs="Calibri"/>
          <w:b/>
          <w:bCs/>
          <w:kern w:val="0"/>
          <w:sz w:val="22"/>
        </w:rPr>
      </w:pPr>
      <w:bookmarkStart w:id="63" w:name="_Toc220123245"/>
      <w:bookmarkStart w:id="64" w:name="_Toc219809805"/>
      <w:bookmarkStart w:id="65" w:name="_Toc5509"/>
      <w:r>
        <w:rPr>
          <w:rFonts w:ascii="宋体" w:hAnsi="宋体" w:cs="Calibri"/>
          <w:b/>
          <w:bCs/>
          <w:kern w:val="0"/>
          <w:sz w:val="22"/>
        </w:rPr>
        <w:t>9.1 对招标人的纪律要求</w:t>
      </w:r>
      <w:bookmarkEnd w:id="63"/>
      <w:bookmarkEnd w:id="64"/>
      <w:bookmarkEnd w:id="65"/>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招标人不得泄漏招标投标活动中应当保密的情况和资料，不得与投标人串通损害国家利益、社会公共利益或者他人合法权益。</w:t>
      </w:r>
    </w:p>
    <w:p>
      <w:pPr>
        <w:autoSpaceDE w:val="0"/>
        <w:autoSpaceDN w:val="0"/>
        <w:adjustRightInd w:val="0"/>
        <w:snapToGrid w:val="0"/>
        <w:spacing w:line="360" w:lineRule="exact"/>
        <w:rPr>
          <w:rFonts w:ascii="宋体" w:hAnsi="宋体" w:cs="Calibri"/>
          <w:b/>
          <w:bCs/>
          <w:kern w:val="0"/>
          <w:sz w:val="22"/>
        </w:rPr>
      </w:pPr>
      <w:bookmarkStart w:id="66" w:name="_Toc219809806"/>
      <w:bookmarkStart w:id="67" w:name="_Toc220123246"/>
      <w:bookmarkStart w:id="68" w:name="_Toc10820"/>
      <w:r>
        <w:rPr>
          <w:rFonts w:ascii="宋体" w:hAnsi="宋体" w:cs="Calibri"/>
          <w:b/>
          <w:bCs/>
          <w:kern w:val="0"/>
          <w:sz w:val="22"/>
        </w:rPr>
        <w:t>9.2 对投标人的纪律要求</w:t>
      </w:r>
      <w:bookmarkEnd w:id="66"/>
      <w:bookmarkEnd w:id="67"/>
      <w:bookmarkEnd w:id="68"/>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投标人不得相互串通投标或者与招标人串通投标，不得向招标人或者评标委员会成员行贿谋取中标，不得以他人名义投标或者以其他方式弄虚作假骗取中标；投标人不得以任何方式干扰、影响评标工作。</w:t>
      </w:r>
    </w:p>
    <w:p>
      <w:pPr>
        <w:autoSpaceDE w:val="0"/>
        <w:autoSpaceDN w:val="0"/>
        <w:adjustRightInd w:val="0"/>
        <w:snapToGrid w:val="0"/>
        <w:spacing w:line="360" w:lineRule="exact"/>
        <w:rPr>
          <w:rFonts w:ascii="宋体" w:hAnsi="宋体" w:cs="Calibri"/>
          <w:b/>
          <w:bCs/>
          <w:kern w:val="0"/>
          <w:sz w:val="22"/>
        </w:rPr>
      </w:pPr>
      <w:bookmarkStart w:id="69" w:name="_Toc220123247"/>
      <w:bookmarkStart w:id="70" w:name="_Toc10756"/>
      <w:bookmarkStart w:id="71" w:name="_Toc219809807"/>
      <w:r>
        <w:rPr>
          <w:rFonts w:ascii="宋体" w:hAnsi="宋体" w:cs="Calibri"/>
          <w:b/>
          <w:bCs/>
          <w:kern w:val="0"/>
          <w:sz w:val="22"/>
        </w:rPr>
        <w:t>9.3 对评标委员会成员的纪律要求</w:t>
      </w:r>
      <w:bookmarkEnd w:id="69"/>
      <w:bookmarkEnd w:id="70"/>
      <w:bookmarkEnd w:id="71"/>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评标委员会成员不得收受他人的财物或者其他好处，不得向他人透露对投标文件的评审和比较、中标候选人的推荐情况以及评标有关的其他情况。在评标活动中，评标委员会成员不得擅离职守，影响评标程序正常进行，不得使用“评标办法”没有规定的评审因素和标准进行评标。</w:t>
      </w:r>
    </w:p>
    <w:p>
      <w:pPr>
        <w:autoSpaceDE w:val="0"/>
        <w:autoSpaceDN w:val="0"/>
        <w:adjustRightInd w:val="0"/>
        <w:snapToGrid w:val="0"/>
        <w:spacing w:line="360" w:lineRule="exact"/>
        <w:rPr>
          <w:rFonts w:ascii="宋体" w:hAnsi="宋体" w:cs="Calibri"/>
          <w:b/>
          <w:bCs/>
          <w:kern w:val="0"/>
          <w:sz w:val="22"/>
        </w:rPr>
      </w:pPr>
      <w:bookmarkStart w:id="72" w:name="_Toc12792"/>
      <w:bookmarkStart w:id="73" w:name="_Toc219809808"/>
      <w:bookmarkStart w:id="74" w:name="_Toc220123248"/>
      <w:r>
        <w:rPr>
          <w:rFonts w:ascii="宋体" w:hAnsi="宋体" w:cs="Calibri"/>
          <w:b/>
          <w:bCs/>
          <w:kern w:val="0"/>
          <w:sz w:val="22"/>
        </w:rPr>
        <w:t>9.4 对评标活动有关的工作人员的纪律要求</w:t>
      </w:r>
      <w:bookmarkEnd w:id="72"/>
      <w:bookmarkEnd w:id="73"/>
      <w:bookmarkEnd w:id="74"/>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与评标活动有关的工作人员不得收受他人的财务或者其他好处，不得向他人透露对投标文件的评审和比较、中标候选人的推荐情况以及评标有关的其他情况。在评标活动中，与评标活动有关的工作人员不得擅离职守，影响评标程序正常进行。</w:t>
      </w:r>
    </w:p>
    <w:p>
      <w:pPr>
        <w:autoSpaceDE w:val="0"/>
        <w:autoSpaceDN w:val="0"/>
        <w:adjustRightInd w:val="0"/>
        <w:snapToGrid w:val="0"/>
        <w:spacing w:line="360" w:lineRule="exact"/>
        <w:rPr>
          <w:rFonts w:ascii="宋体" w:hAnsi="宋体" w:cs="Calibri"/>
          <w:b/>
          <w:bCs/>
          <w:kern w:val="0"/>
          <w:sz w:val="22"/>
        </w:rPr>
      </w:pPr>
      <w:bookmarkStart w:id="75" w:name="_Toc239"/>
      <w:bookmarkStart w:id="76" w:name="_Toc219809809"/>
      <w:bookmarkStart w:id="77" w:name="_Toc220123249"/>
      <w:r>
        <w:rPr>
          <w:rFonts w:ascii="宋体" w:hAnsi="宋体" w:cs="Calibri"/>
          <w:b/>
          <w:bCs/>
          <w:kern w:val="0"/>
          <w:sz w:val="22"/>
        </w:rPr>
        <w:t>9.5 投诉</w:t>
      </w:r>
      <w:bookmarkEnd w:id="75"/>
      <w:bookmarkEnd w:id="76"/>
      <w:bookmarkEnd w:id="77"/>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投标人和其他利害关系人认为本次招标活动违反法律、法规和规章规定的，有权向有关行政监督部门投诉。</w:t>
      </w:r>
    </w:p>
    <w:p>
      <w:pPr>
        <w:autoSpaceDE w:val="0"/>
        <w:autoSpaceDN w:val="0"/>
        <w:adjustRightInd w:val="0"/>
        <w:snapToGrid w:val="0"/>
        <w:spacing w:line="360" w:lineRule="exact"/>
        <w:rPr>
          <w:rFonts w:ascii="宋体" w:hAnsi="宋体" w:cs="Calibri"/>
          <w:b/>
          <w:bCs/>
          <w:kern w:val="0"/>
          <w:sz w:val="22"/>
        </w:rPr>
      </w:pPr>
      <w:bookmarkStart w:id="78" w:name="_Toc10817"/>
      <w:r>
        <w:rPr>
          <w:rFonts w:ascii="宋体" w:hAnsi="宋体" w:cs="Calibri"/>
          <w:b/>
          <w:bCs/>
          <w:kern w:val="0"/>
          <w:sz w:val="22"/>
        </w:rPr>
        <w:t>10. 需要补充的其他内容</w:t>
      </w:r>
      <w:bookmarkEnd w:id="78"/>
    </w:p>
    <w:p>
      <w:pPr>
        <w:autoSpaceDE w:val="0"/>
        <w:autoSpaceDN w:val="0"/>
        <w:adjustRightInd w:val="0"/>
        <w:snapToGrid w:val="0"/>
        <w:spacing w:line="360" w:lineRule="exact"/>
        <w:ind w:firstLine="440"/>
        <w:jc w:val="left"/>
        <w:rPr>
          <w:rFonts w:cs="Calibri" w:asciiTheme="minorEastAsia" w:hAnsiTheme="minorEastAsia"/>
          <w:color w:val="000000"/>
          <w:sz w:val="22"/>
        </w:rPr>
      </w:pPr>
      <w:r>
        <w:rPr>
          <w:rFonts w:cs="Calibri" w:asciiTheme="minorEastAsia" w:hAnsiTheme="minorEastAsia"/>
          <w:color w:val="000000"/>
          <w:sz w:val="22"/>
        </w:rPr>
        <w:t>需要补充的其他内容：见投标人须知前附表。</w:t>
      </w:r>
    </w:p>
    <w:p>
      <w:pPr>
        <w:spacing w:line="560" w:lineRule="exact"/>
      </w:pPr>
    </w:p>
    <w:p>
      <w:pPr>
        <w:spacing w:line="560" w:lineRule="exact"/>
        <w:jc w:val="center"/>
      </w:pPr>
    </w:p>
    <w:p>
      <w:pPr>
        <w:snapToGrid w:val="0"/>
        <w:spacing w:line="560" w:lineRule="exact"/>
      </w:pPr>
    </w:p>
    <w:p>
      <w:pPr>
        <w:pStyle w:val="48"/>
      </w:pPr>
      <w:r>
        <w:rPr>
          <w:sz w:val="24"/>
        </w:rPr>
        <w:br w:type="page"/>
      </w:r>
      <w:bookmarkStart w:id="79" w:name="_Toc448097404"/>
      <w:r>
        <w:t>第</w:t>
      </w:r>
      <w:r>
        <w:rPr>
          <w:rFonts w:hint="eastAsia"/>
        </w:rPr>
        <w:t>三</w:t>
      </w:r>
      <w:r>
        <w:t xml:space="preserve">章  </w:t>
      </w:r>
      <w:r>
        <w:rPr>
          <w:rFonts w:hint="eastAsia"/>
        </w:rPr>
        <w:t>合同条款及格式</w:t>
      </w:r>
      <w:bookmarkEnd w:id="79"/>
    </w:p>
    <w:p>
      <w:pPr>
        <w:keepNext/>
        <w:keepLines/>
        <w:spacing w:before="120" w:after="120" w:line="400" w:lineRule="exact"/>
        <w:ind w:right="-16"/>
        <w:jc w:val="center"/>
        <w:outlineLvl w:val="0"/>
        <w:rPr>
          <w:rFonts w:ascii="宋体" w:hAnsi="宋体" w:cs="宋体"/>
          <w:b/>
          <w:sz w:val="28"/>
          <w:szCs w:val="20"/>
        </w:rPr>
      </w:pPr>
      <w:bookmarkStart w:id="80" w:name="_Toc448097405"/>
    </w:p>
    <w:p>
      <w:pPr>
        <w:keepNext/>
        <w:keepLines/>
        <w:spacing w:before="120" w:after="120" w:line="400" w:lineRule="exact"/>
        <w:ind w:right="-16"/>
        <w:jc w:val="center"/>
        <w:outlineLvl w:val="0"/>
        <w:rPr>
          <w:rFonts w:ascii="宋体" w:hAnsi="宋体" w:cs="宋体"/>
          <w:b/>
          <w:sz w:val="28"/>
          <w:szCs w:val="20"/>
        </w:rPr>
      </w:pPr>
      <w:r>
        <w:rPr>
          <w:rFonts w:hint="eastAsia" w:ascii="宋体" w:hAnsi="宋体" w:cs="宋体"/>
          <w:b/>
          <w:sz w:val="28"/>
          <w:szCs w:val="20"/>
        </w:rPr>
        <w:t>第一部分  合同协议书</w:t>
      </w:r>
      <w:bookmarkEnd w:id="80"/>
      <w:r>
        <w:rPr>
          <w:rFonts w:hint="eastAsia" w:ascii="宋体" w:hAnsi="宋体" w:cs="宋体"/>
          <w:b/>
          <w:sz w:val="28"/>
          <w:szCs w:val="20"/>
        </w:rPr>
        <w:t>（一）</w:t>
      </w:r>
    </w:p>
    <w:p>
      <w:pPr>
        <w:spacing w:line="400" w:lineRule="exact"/>
        <w:ind w:left="105" w:leftChars="50" w:firstLine="440" w:firstLineChars="200"/>
        <w:jc w:val="left"/>
        <w:rPr>
          <w:rFonts w:asciiTheme="minorEastAsia" w:hAnsiTheme="minorEastAsia"/>
          <w:sz w:val="22"/>
        </w:rPr>
      </w:pPr>
      <w:r>
        <w:rPr>
          <w:rFonts w:hint="eastAsia" w:asciiTheme="minorEastAsia" w:hAnsiTheme="minorEastAsia"/>
          <w:sz w:val="22"/>
        </w:rPr>
        <w:t>浙江航空开发有限责任</w:t>
      </w:r>
      <w:r>
        <w:rPr>
          <w:rFonts w:asciiTheme="minorEastAsia" w:hAnsiTheme="minorEastAsia"/>
          <w:sz w:val="22"/>
        </w:rPr>
        <w:t>公司</w:t>
      </w:r>
      <w:r>
        <w:rPr>
          <w:rFonts w:hint="eastAsia" w:asciiTheme="minorEastAsia" w:hAnsiTheme="minorEastAsia"/>
          <w:sz w:val="22"/>
        </w:rPr>
        <w:t>（以下简称“发包人”）为实施</w:t>
      </w:r>
      <w:r>
        <w:rPr>
          <w:rFonts w:hint="eastAsia" w:asciiTheme="minorEastAsia" w:hAnsiTheme="minorEastAsia"/>
          <w:sz w:val="22"/>
          <w:u w:val="single"/>
        </w:rPr>
        <w:t>药品仓储基地3#库屋面维修</w:t>
      </w:r>
      <w:r>
        <w:rPr>
          <w:rFonts w:asciiTheme="minorEastAsia" w:hAnsiTheme="minorEastAsia"/>
          <w:sz w:val="22"/>
          <w:u w:val="single"/>
        </w:rPr>
        <w:t>项目</w:t>
      </w:r>
      <w:r>
        <w:rPr>
          <w:rFonts w:hint="eastAsia" w:asciiTheme="minorEastAsia" w:hAnsiTheme="minorEastAsia"/>
          <w:sz w:val="22"/>
          <w:u w:val="single"/>
        </w:rPr>
        <w:t xml:space="preserve">工程    </w:t>
      </w:r>
      <w:r>
        <w:rPr>
          <w:rFonts w:hint="eastAsia" w:asciiTheme="minorEastAsia" w:hAnsiTheme="minorEastAsia"/>
          <w:sz w:val="22"/>
        </w:rPr>
        <w:t>，已接受（以下简称“承包人”）对该项目施工的投标。发包人和承包人共同达成如下协议。</w:t>
      </w:r>
    </w:p>
    <w:p>
      <w:pPr>
        <w:spacing w:line="400" w:lineRule="exact"/>
        <w:ind w:firstLine="440" w:firstLineChars="200"/>
        <w:rPr>
          <w:rFonts w:asciiTheme="minorEastAsia" w:hAnsiTheme="minorEastAsia"/>
          <w:sz w:val="22"/>
        </w:rPr>
      </w:pPr>
      <w:bookmarkStart w:id="81" w:name="_Toc152042548"/>
      <w:bookmarkStart w:id="82" w:name="_Toc144974828"/>
      <w:r>
        <w:rPr>
          <w:rFonts w:hint="eastAsia" w:asciiTheme="minorEastAsia" w:hAnsiTheme="minorEastAsia"/>
          <w:sz w:val="22"/>
        </w:rPr>
        <w:t>1. 本协议书与下列文件一起构成合同文件：</w:t>
      </w:r>
      <w:bookmarkEnd w:id="81"/>
      <w:bookmarkEnd w:id="82"/>
    </w:p>
    <w:p>
      <w:pPr>
        <w:spacing w:line="400" w:lineRule="exact"/>
        <w:ind w:firstLine="440" w:firstLineChars="200"/>
        <w:rPr>
          <w:rFonts w:asciiTheme="minorEastAsia" w:hAnsiTheme="minorEastAsia"/>
          <w:sz w:val="22"/>
        </w:rPr>
      </w:pPr>
      <w:r>
        <w:rPr>
          <w:rFonts w:hint="eastAsia" w:asciiTheme="minorEastAsia" w:hAnsiTheme="minorEastAsia"/>
          <w:sz w:val="22"/>
        </w:rPr>
        <w:t>(1)本合同书面（补充）协议以及合同履行中，双方有关工程的洽谈、变更等书面协议或文件；</w:t>
      </w:r>
    </w:p>
    <w:p>
      <w:pPr>
        <w:spacing w:line="400" w:lineRule="exact"/>
        <w:ind w:firstLine="440" w:firstLineChars="200"/>
        <w:rPr>
          <w:rFonts w:asciiTheme="minorEastAsia" w:hAnsiTheme="minorEastAsia"/>
          <w:sz w:val="22"/>
        </w:rPr>
      </w:pPr>
      <w:r>
        <w:rPr>
          <w:rFonts w:hint="eastAsia" w:asciiTheme="minorEastAsia" w:hAnsiTheme="minorEastAsia"/>
          <w:sz w:val="22"/>
        </w:rPr>
        <w:t>（2）本合同协议书（含合同谈判纪要）；</w:t>
      </w:r>
    </w:p>
    <w:p>
      <w:pPr>
        <w:spacing w:line="400" w:lineRule="exact"/>
        <w:ind w:firstLine="440" w:firstLineChars="200"/>
        <w:rPr>
          <w:rFonts w:asciiTheme="minorEastAsia" w:hAnsiTheme="minorEastAsia"/>
          <w:sz w:val="22"/>
        </w:rPr>
      </w:pPr>
      <w:r>
        <w:rPr>
          <w:rFonts w:hint="eastAsia" w:asciiTheme="minorEastAsia" w:hAnsiTheme="minorEastAsia"/>
          <w:sz w:val="22"/>
        </w:rPr>
        <w:t xml:space="preserve">（3）中标通知书； </w:t>
      </w:r>
      <w:r>
        <w:rPr>
          <w:rFonts w:asciiTheme="minorEastAsia" w:hAnsiTheme="minorEastAsia"/>
          <w:sz w:val="22"/>
        </w:rPr>
        <w:t xml:space="preserve"> </w:t>
      </w:r>
    </w:p>
    <w:p>
      <w:pPr>
        <w:spacing w:line="400" w:lineRule="exact"/>
        <w:ind w:firstLine="440" w:firstLineChars="200"/>
        <w:rPr>
          <w:rFonts w:asciiTheme="minorEastAsia" w:hAnsiTheme="minorEastAsia"/>
          <w:sz w:val="22"/>
        </w:rPr>
      </w:pPr>
      <w:r>
        <w:rPr>
          <w:rFonts w:hint="eastAsia" w:asciiTheme="minorEastAsia" w:hAnsiTheme="minorEastAsia"/>
          <w:sz w:val="22"/>
        </w:rPr>
        <w:t>（4）本合同专用条款；</w:t>
      </w:r>
    </w:p>
    <w:p>
      <w:pPr>
        <w:spacing w:line="400" w:lineRule="exact"/>
        <w:ind w:firstLine="440" w:firstLineChars="200"/>
        <w:rPr>
          <w:rFonts w:asciiTheme="minorEastAsia" w:hAnsiTheme="minorEastAsia"/>
          <w:sz w:val="22"/>
        </w:rPr>
      </w:pPr>
      <w:r>
        <w:rPr>
          <w:rFonts w:hint="eastAsia" w:asciiTheme="minorEastAsia" w:hAnsiTheme="minorEastAsia"/>
          <w:sz w:val="22"/>
        </w:rPr>
        <w:t>（5）招标文件及其补充文件（包括询标记录）；</w:t>
      </w:r>
    </w:p>
    <w:p>
      <w:pPr>
        <w:spacing w:line="400" w:lineRule="exact"/>
        <w:ind w:firstLine="440" w:firstLineChars="200"/>
        <w:rPr>
          <w:rFonts w:asciiTheme="minorEastAsia" w:hAnsiTheme="minorEastAsia"/>
          <w:sz w:val="22"/>
        </w:rPr>
      </w:pPr>
      <w:r>
        <w:rPr>
          <w:rFonts w:hint="eastAsia" w:asciiTheme="minorEastAsia" w:hAnsiTheme="minorEastAsia"/>
          <w:sz w:val="22"/>
        </w:rPr>
        <w:t>（6）投标文件及其附件；</w:t>
      </w:r>
    </w:p>
    <w:p>
      <w:pPr>
        <w:spacing w:line="400" w:lineRule="exact"/>
        <w:ind w:firstLine="440" w:firstLineChars="200"/>
        <w:rPr>
          <w:rFonts w:asciiTheme="minorEastAsia" w:hAnsiTheme="minorEastAsia"/>
          <w:sz w:val="22"/>
        </w:rPr>
      </w:pPr>
      <w:r>
        <w:rPr>
          <w:rFonts w:hint="eastAsia" w:asciiTheme="minorEastAsia" w:hAnsiTheme="minorEastAsia"/>
          <w:sz w:val="22"/>
        </w:rPr>
        <w:t>（7）本合同通用条款；</w:t>
      </w:r>
    </w:p>
    <w:p>
      <w:pPr>
        <w:spacing w:line="400" w:lineRule="exact"/>
        <w:ind w:firstLine="440" w:firstLineChars="200"/>
        <w:rPr>
          <w:rFonts w:asciiTheme="minorEastAsia" w:hAnsiTheme="minorEastAsia"/>
          <w:sz w:val="22"/>
        </w:rPr>
      </w:pPr>
      <w:r>
        <w:rPr>
          <w:rFonts w:hint="eastAsia" w:asciiTheme="minorEastAsia" w:hAnsiTheme="minorEastAsia"/>
          <w:sz w:val="22"/>
        </w:rPr>
        <w:t>（8）标准、规范及有关技术文件；</w:t>
      </w:r>
    </w:p>
    <w:p>
      <w:pPr>
        <w:spacing w:line="400" w:lineRule="exact"/>
        <w:ind w:firstLine="440" w:firstLineChars="200"/>
        <w:rPr>
          <w:rFonts w:asciiTheme="minorEastAsia" w:hAnsiTheme="minorEastAsia"/>
          <w:sz w:val="22"/>
        </w:rPr>
      </w:pPr>
      <w:r>
        <w:rPr>
          <w:rFonts w:hint="eastAsia" w:asciiTheme="minorEastAsia" w:hAnsiTheme="minorEastAsia"/>
          <w:sz w:val="22"/>
        </w:rPr>
        <w:t>（9）图纸；</w:t>
      </w:r>
    </w:p>
    <w:p>
      <w:pPr>
        <w:spacing w:line="400" w:lineRule="exact"/>
        <w:ind w:firstLine="440" w:firstLineChars="200"/>
        <w:rPr>
          <w:rFonts w:asciiTheme="minorEastAsia" w:hAnsiTheme="minorEastAsia"/>
          <w:sz w:val="22"/>
        </w:rPr>
      </w:pPr>
      <w:r>
        <w:rPr>
          <w:rFonts w:hint="eastAsia" w:asciiTheme="minorEastAsia" w:hAnsiTheme="minorEastAsia"/>
          <w:sz w:val="22"/>
        </w:rPr>
        <w:t>（10）工程量清单；</w:t>
      </w:r>
    </w:p>
    <w:p>
      <w:pPr>
        <w:spacing w:line="400" w:lineRule="exact"/>
        <w:ind w:firstLine="440" w:firstLineChars="200"/>
        <w:rPr>
          <w:rFonts w:asciiTheme="minorEastAsia" w:hAnsiTheme="minorEastAsia"/>
          <w:sz w:val="22"/>
        </w:rPr>
      </w:pPr>
      <w:r>
        <w:rPr>
          <w:rFonts w:hint="eastAsia" w:asciiTheme="minorEastAsia" w:hAnsiTheme="minorEastAsia"/>
          <w:sz w:val="22"/>
        </w:rPr>
        <w:t>（11）工程报价书。 </w:t>
      </w:r>
    </w:p>
    <w:p>
      <w:pPr>
        <w:spacing w:line="400" w:lineRule="exact"/>
        <w:ind w:firstLine="440" w:firstLineChars="200"/>
        <w:rPr>
          <w:rFonts w:asciiTheme="minorEastAsia" w:hAnsiTheme="minorEastAsia"/>
          <w:sz w:val="22"/>
        </w:rPr>
      </w:pPr>
      <w:bookmarkStart w:id="83" w:name="_Toc144974829"/>
      <w:bookmarkStart w:id="84" w:name="_Toc152042549"/>
      <w:r>
        <w:rPr>
          <w:rFonts w:hint="eastAsia" w:asciiTheme="minorEastAsia" w:hAnsiTheme="minorEastAsia"/>
          <w:sz w:val="22"/>
        </w:rPr>
        <w:t>2. 上述文件互相补充和解释，如有不明确或不一致之处，以合同约定次序在先者为准。</w:t>
      </w:r>
      <w:bookmarkEnd w:id="83"/>
      <w:bookmarkEnd w:id="84"/>
    </w:p>
    <w:p>
      <w:pPr>
        <w:spacing w:line="400" w:lineRule="exact"/>
        <w:ind w:firstLine="440" w:firstLineChars="200"/>
        <w:rPr>
          <w:rFonts w:asciiTheme="minorEastAsia" w:hAnsiTheme="minorEastAsia"/>
          <w:sz w:val="22"/>
        </w:rPr>
      </w:pPr>
      <w:r>
        <w:rPr>
          <w:rFonts w:hint="eastAsia" w:asciiTheme="minorEastAsia" w:hAnsiTheme="minorEastAsia"/>
          <w:sz w:val="22"/>
        </w:rPr>
        <w:t>3. 签约含增值税合同价：人民币（大写）</w:t>
      </w:r>
      <w:r>
        <w:rPr>
          <w:rFonts w:hint="eastAsia" w:asciiTheme="minorEastAsia" w:hAnsiTheme="minorEastAsia"/>
          <w:sz w:val="22"/>
          <w:u w:val="single"/>
        </w:rPr>
        <w:t xml:space="preserve">        </w:t>
      </w:r>
      <w:r>
        <w:rPr>
          <w:rFonts w:hint="eastAsia" w:asciiTheme="minorEastAsia" w:hAnsiTheme="minorEastAsia"/>
          <w:sz w:val="22"/>
        </w:rPr>
        <w:t>元（¥</w:t>
      </w:r>
      <w:r>
        <w:rPr>
          <w:rFonts w:hint="eastAsia" w:asciiTheme="minorEastAsia" w:hAnsiTheme="minorEastAsia"/>
          <w:sz w:val="22"/>
          <w:u w:val="single"/>
        </w:rPr>
        <w:t xml:space="preserve">         </w:t>
      </w:r>
      <w:r>
        <w:rPr>
          <w:rFonts w:hint="eastAsia" w:asciiTheme="minorEastAsia" w:hAnsiTheme="minorEastAsia"/>
          <w:sz w:val="22"/>
        </w:rPr>
        <w:t>元 ），增值税税率</w:t>
      </w:r>
      <w:r>
        <w:rPr>
          <w:rFonts w:asciiTheme="minorEastAsia" w:hAnsiTheme="minorEastAsia"/>
          <w:sz w:val="22"/>
          <w:u w:val="single"/>
        </w:rPr>
        <w:t xml:space="preserve">   </w:t>
      </w:r>
      <w:r>
        <w:rPr>
          <w:rFonts w:hint="eastAsia" w:asciiTheme="minorEastAsia" w:hAnsiTheme="minorEastAsia"/>
          <w:sz w:val="22"/>
          <w:u w:val="single"/>
        </w:rPr>
        <w:t>%</w:t>
      </w:r>
      <w:r>
        <w:rPr>
          <w:rFonts w:hint="eastAsia" w:asciiTheme="minorEastAsia" w:hAnsiTheme="minorEastAsia"/>
          <w:sz w:val="22"/>
        </w:rPr>
        <w:t>，不含增值税合同价人民币（大写）</w:t>
      </w:r>
      <w:r>
        <w:rPr>
          <w:rFonts w:asciiTheme="minorEastAsia" w:hAnsiTheme="minorEastAsia"/>
          <w:sz w:val="22"/>
          <w:u w:val="single"/>
        </w:rPr>
        <w:t xml:space="preserve">      </w:t>
      </w:r>
      <w:r>
        <w:rPr>
          <w:rFonts w:hint="eastAsia" w:asciiTheme="minorEastAsia" w:hAnsiTheme="minorEastAsia"/>
          <w:sz w:val="22"/>
        </w:rPr>
        <w:t>元（¥</w:t>
      </w:r>
      <w:r>
        <w:rPr>
          <w:rFonts w:asciiTheme="minorEastAsia" w:hAnsiTheme="minorEastAsia"/>
          <w:sz w:val="22"/>
          <w:u w:val="single"/>
        </w:rPr>
        <w:t xml:space="preserve">        </w:t>
      </w:r>
      <w:r>
        <w:rPr>
          <w:rFonts w:hint="eastAsia" w:asciiTheme="minorEastAsia" w:hAnsiTheme="minorEastAsia"/>
          <w:sz w:val="22"/>
        </w:rPr>
        <w:t>元</w:t>
      </w:r>
      <w:r>
        <w:rPr>
          <w:rFonts w:asciiTheme="minorEastAsia" w:hAnsiTheme="minorEastAsia"/>
          <w:sz w:val="22"/>
        </w:rPr>
        <w:t xml:space="preserve"> </w:t>
      </w:r>
      <w:r>
        <w:rPr>
          <w:rFonts w:hint="eastAsia" w:asciiTheme="minorEastAsia" w:hAnsiTheme="minorEastAsia"/>
          <w:sz w:val="22"/>
        </w:rPr>
        <w:t>），税额人民币（大写</w:t>
      </w:r>
      <w:r>
        <w:rPr>
          <w:rFonts w:asciiTheme="minorEastAsia" w:hAnsiTheme="minorEastAsia"/>
          <w:sz w:val="22"/>
          <w:u w:val="single"/>
        </w:rPr>
        <w:t xml:space="preserve">    </w:t>
      </w:r>
      <w:r>
        <w:rPr>
          <w:rFonts w:hint="eastAsia" w:asciiTheme="minorEastAsia" w:hAnsiTheme="minorEastAsia"/>
          <w:sz w:val="22"/>
        </w:rPr>
        <w:t>元（¥</w:t>
      </w:r>
      <w:r>
        <w:rPr>
          <w:rFonts w:asciiTheme="minorEastAsia" w:hAnsiTheme="minorEastAsia"/>
          <w:sz w:val="22"/>
          <w:u w:val="single"/>
        </w:rPr>
        <w:t xml:space="preserve">         </w:t>
      </w:r>
      <w:r>
        <w:rPr>
          <w:rFonts w:hint="eastAsia" w:asciiTheme="minorEastAsia" w:hAnsiTheme="minorEastAsia"/>
          <w:sz w:val="22"/>
        </w:rPr>
        <w:t>元</w:t>
      </w:r>
      <w:r>
        <w:rPr>
          <w:rFonts w:asciiTheme="minorEastAsia" w:hAnsiTheme="minorEastAsia"/>
          <w:sz w:val="22"/>
        </w:rPr>
        <w:t xml:space="preserve"> </w:t>
      </w:r>
      <w:r>
        <w:rPr>
          <w:rFonts w:hint="eastAsia" w:asciiTheme="minorEastAsia" w:hAnsiTheme="minorEastAsia"/>
          <w:sz w:val="22"/>
        </w:rPr>
        <w:t>）。</w:t>
      </w:r>
    </w:p>
    <w:p>
      <w:pPr>
        <w:spacing w:line="400" w:lineRule="exact"/>
        <w:ind w:firstLine="440" w:firstLineChars="200"/>
        <w:rPr>
          <w:rFonts w:asciiTheme="minorEastAsia" w:hAnsiTheme="minorEastAsia"/>
          <w:sz w:val="22"/>
        </w:rPr>
      </w:pPr>
      <w:r>
        <w:rPr>
          <w:rFonts w:hint="eastAsia" w:asciiTheme="minorEastAsia" w:hAnsiTheme="minorEastAsia"/>
          <w:sz w:val="22"/>
        </w:rPr>
        <w:t>在合同有效期限内，若因国家税收政策调整而引起的增值税税率变化的，应按照国家税收政策调整，合同总金额变更为原合同不含增值税货物或劳务价格与调整后税率计算税额的合计金额。</w:t>
      </w:r>
    </w:p>
    <w:p>
      <w:pPr>
        <w:spacing w:line="400" w:lineRule="exact"/>
        <w:ind w:firstLine="440" w:firstLineChars="200"/>
        <w:rPr>
          <w:rFonts w:asciiTheme="minorEastAsia" w:hAnsiTheme="minorEastAsia"/>
          <w:sz w:val="22"/>
        </w:rPr>
      </w:pPr>
      <w:r>
        <w:rPr>
          <w:rFonts w:hint="eastAsia" w:asciiTheme="minorEastAsia" w:hAnsiTheme="minorEastAsia"/>
          <w:sz w:val="22"/>
        </w:rPr>
        <w:t>4. 承包人项目经理：。</w:t>
      </w:r>
    </w:p>
    <w:p>
      <w:pPr>
        <w:spacing w:line="400" w:lineRule="exact"/>
        <w:ind w:firstLine="440" w:firstLineChars="200"/>
        <w:rPr>
          <w:rFonts w:asciiTheme="minorEastAsia" w:hAnsiTheme="minorEastAsia"/>
          <w:sz w:val="22"/>
        </w:rPr>
      </w:pPr>
      <w:r>
        <w:rPr>
          <w:rFonts w:hint="eastAsia" w:asciiTheme="minorEastAsia" w:hAnsiTheme="minorEastAsia"/>
          <w:sz w:val="22"/>
        </w:rPr>
        <w:t>5. 工程质量符合</w:t>
      </w:r>
      <w:r>
        <w:rPr>
          <w:rFonts w:hint="eastAsia" w:asciiTheme="minorEastAsia" w:hAnsiTheme="minorEastAsia"/>
          <w:sz w:val="22"/>
          <w:u w:val="single"/>
        </w:rPr>
        <w:t xml:space="preserve">  合同约定且达到合格  </w:t>
      </w:r>
      <w:r>
        <w:rPr>
          <w:rFonts w:hint="eastAsia" w:asciiTheme="minorEastAsia" w:hAnsiTheme="minorEastAsia"/>
          <w:sz w:val="22"/>
        </w:rPr>
        <w:t>标准。</w:t>
      </w:r>
    </w:p>
    <w:p>
      <w:pPr>
        <w:spacing w:line="400" w:lineRule="exact"/>
        <w:ind w:firstLine="440" w:firstLineChars="200"/>
        <w:rPr>
          <w:rFonts w:asciiTheme="minorEastAsia" w:hAnsiTheme="minorEastAsia"/>
          <w:sz w:val="22"/>
        </w:rPr>
      </w:pPr>
      <w:r>
        <w:rPr>
          <w:rFonts w:hint="eastAsia" w:asciiTheme="minorEastAsia" w:hAnsiTheme="minorEastAsia"/>
          <w:sz w:val="22"/>
        </w:rPr>
        <w:t>6. 承包人承诺按合同约定承担工程的实施、完成及缺陷修复。</w:t>
      </w:r>
    </w:p>
    <w:p>
      <w:pPr>
        <w:spacing w:line="400" w:lineRule="exact"/>
        <w:ind w:firstLine="440" w:firstLineChars="200"/>
        <w:rPr>
          <w:rFonts w:asciiTheme="minorEastAsia" w:hAnsiTheme="minorEastAsia"/>
          <w:sz w:val="22"/>
        </w:rPr>
      </w:pPr>
      <w:r>
        <w:rPr>
          <w:rFonts w:hint="eastAsia" w:asciiTheme="minorEastAsia" w:hAnsiTheme="minorEastAsia"/>
          <w:sz w:val="22"/>
        </w:rPr>
        <w:t>7. 发包人承诺按合同约定的条件、时间和方式向承包人支付合同价款。</w:t>
      </w:r>
    </w:p>
    <w:p>
      <w:pPr>
        <w:spacing w:line="400" w:lineRule="exact"/>
        <w:ind w:firstLine="440" w:firstLineChars="200"/>
        <w:rPr>
          <w:rFonts w:asciiTheme="minorEastAsia" w:hAnsiTheme="minorEastAsia"/>
          <w:sz w:val="22"/>
        </w:rPr>
      </w:pPr>
      <w:r>
        <w:rPr>
          <w:rFonts w:hint="eastAsia" w:asciiTheme="minorEastAsia" w:hAnsiTheme="minorEastAsia"/>
          <w:sz w:val="22"/>
        </w:rPr>
        <w:t>8. 承包人应按照发包人指示开工，工期为</w:t>
      </w:r>
      <w:r>
        <w:rPr>
          <w:rFonts w:hint="eastAsia" w:asciiTheme="minorEastAsia" w:hAnsiTheme="minorEastAsia"/>
          <w:sz w:val="22"/>
          <w:u w:val="single"/>
        </w:rPr>
        <w:t xml:space="preserve">    </w:t>
      </w:r>
      <w:r>
        <w:rPr>
          <w:rFonts w:hint="eastAsia" w:asciiTheme="minorEastAsia" w:hAnsiTheme="minorEastAsia"/>
          <w:sz w:val="22"/>
        </w:rPr>
        <w:t>日历天。</w:t>
      </w:r>
    </w:p>
    <w:p>
      <w:pPr>
        <w:spacing w:line="400" w:lineRule="exact"/>
        <w:ind w:firstLine="440" w:firstLineChars="200"/>
        <w:rPr>
          <w:rFonts w:asciiTheme="minorEastAsia" w:hAnsiTheme="minorEastAsia"/>
          <w:sz w:val="22"/>
        </w:rPr>
      </w:pPr>
      <w:r>
        <w:rPr>
          <w:rFonts w:hint="eastAsia" w:asciiTheme="minorEastAsia" w:hAnsiTheme="minorEastAsia"/>
          <w:sz w:val="22"/>
        </w:rPr>
        <w:t>9. 本协议书一式陆份，甲方执肆份，乙方执贰份。</w:t>
      </w:r>
    </w:p>
    <w:p>
      <w:pPr>
        <w:spacing w:line="400" w:lineRule="exact"/>
        <w:ind w:firstLine="440" w:firstLineChars="200"/>
        <w:rPr>
          <w:rFonts w:asciiTheme="minorEastAsia" w:hAnsiTheme="minorEastAsia"/>
          <w:sz w:val="22"/>
        </w:rPr>
      </w:pPr>
      <w:bookmarkStart w:id="85" w:name="_Toc152042550"/>
      <w:bookmarkStart w:id="86" w:name="_Toc144974830"/>
      <w:r>
        <w:rPr>
          <w:rFonts w:hint="eastAsia" w:asciiTheme="minorEastAsia" w:hAnsiTheme="minorEastAsia"/>
          <w:sz w:val="22"/>
        </w:rPr>
        <w:t>10. 合同未尽事宜，双方另行签订补充协议。补充协议是合同的组成部分。</w:t>
      </w:r>
      <w:bookmarkEnd w:id="85"/>
      <w:bookmarkEnd w:id="86"/>
    </w:p>
    <w:p>
      <w:pPr>
        <w:spacing w:line="400" w:lineRule="exact"/>
        <w:ind w:firstLine="440" w:firstLineChars="200"/>
        <w:rPr>
          <w:rFonts w:asciiTheme="minorEastAsia" w:hAnsiTheme="minorEastAsia"/>
          <w:sz w:val="22"/>
        </w:rPr>
      </w:pPr>
      <w:r>
        <w:rPr>
          <w:rFonts w:hint="eastAsia" w:asciiTheme="minorEastAsia" w:hAnsiTheme="minorEastAsia"/>
          <w:sz w:val="22"/>
        </w:rPr>
        <w:t>11.合同生效：本合同自双方法定代表人或委托代理人签字盖章之日起生效。</w:t>
      </w:r>
    </w:p>
    <w:p>
      <w:pPr>
        <w:spacing w:line="400" w:lineRule="exact"/>
        <w:ind w:firstLine="440" w:firstLineChars="200"/>
        <w:rPr>
          <w:rFonts w:asciiTheme="minorEastAsia" w:hAnsiTheme="minorEastAsia"/>
          <w:sz w:val="22"/>
        </w:rPr>
      </w:pPr>
    </w:p>
    <w:p>
      <w:pPr>
        <w:spacing w:line="400" w:lineRule="exact"/>
        <w:ind w:firstLine="440" w:firstLineChars="200"/>
        <w:rPr>
          <w:rFonts w:asciiTheme="minorEastAsia" w:hAnsiTheme="minorEastAsia"/>
          <w:sz w:val="22"/>
        </w:rPr>
      </w:pPr>
      <w:r>
        <w:rPr>
          <w:rFonts w:hint="eastAsia" w:asciiTheme="minorEastAsia" w:hAnsiTheme="minorEastAsia"/>
          <w:sz w:val="22"/>
        </w:rPr>
        <w:t>发包人：                （盖单位章）    承包人：                  （盖单位章）</w:t>
      </w:r>
    </w:p>
    <w:p>
      <w:pPr>
        <w:spacing w:line="400" w:lineRule="exact"/>
        <w:ind w:firstLine="440" w:firstLineChars="200"/>
        <w:rPr>
          <w:rFonts w:asciiTheme="minorEastAsia" w:hAnsiTheme="minorEastAsia"/>
          <w:sz w:val="22"/>
        </w:rPr>
      </w:pPr>
      <w:r>
        <w:rPr>
          <w:rFonts w:hint="eastAsia" w:asciiTheme="minorEastAsia" w:hAnsiTheme="minorEastAsia"/>
          <w:sz w:val="22"/>
        </w:rPr>
        <w:t xml:space="preserve">法定代表人或其委托代理人：              法定代表人或其委托代理人：          </w:t>
      </w:r>
    </w:p>
    <w:p>
      <w:pPr>
        <w:keepNext/>
        <w:keepLines/>
        <w:spacing w:before="120" w:after="120" w:line="400" w:lineRule="exact"/>
        <w:ind w:right="-16"/>
        <w:jc w:val="center"/>
        <w:outlineLvl w:val="0"/>
        <w:rPr>
          <w:rFonts w:ascii="宋体" w:hAnsi="宋体" w:cs="宋体"/>
          <w:b/>
          <w:sz w:val="28"/>
          <w:szCs w:val="20"/>
        </w:rPr>
      </w:pPr>
      <w:r>
        <w:rPr>
          <w:szCs w:val="21"/>
        </w:rPr>
        <w:br w:type="page"/>
      </w:r>
      <w:bookmarkStart w:id="87" w:name="_Toc246392119"/>
      <w:bookmarkStart w:id="88" w:name="_Toc448097406"/>
      <w:bookmarkStart w:id="89" w:name="_Toc375636693"/>
      <w:bookmarkStart w:id="90" w:name="_Toc375636694"/>
      <w:bookmarkStart w:id="91" w:name="_Toc152045766"/>
      <w:bookmarkStart w:id="92" w:name="_Toc144974736"/>
      <w:bookmarkStart w:id="93" w:name="_Toc152042545"/>
      <w:r>
        <w:rPr>
          <w:rFonts w:hint="eastAsia" w:ascii="宋体" w:hAnsi="宋体" w:cs="宋体"/>
          <w:b/>
          <w:sz w:val="28"/>
          <w:szCs w:val="20"/>
        </w:rPr>
        <w:t>第二部分  通用合同条款</w:t>
      </w:r>
      <w:bookmarkEnd w:id="87"/>
      <w:bookmarkEnd w:id="88"/>
      <w:bookmarkEnd w:id="89"/>
    </w:p>
    <w:p>
      <w:pPr>
        <w:pStyle w:val="127"/>
        <w:jc w:val="center"/>
        <w:rPr>
          <w:rFonts w:ascii="宋体" w:hAnsi="宋体" w:eastAsia="宋体"/>
          <w:b/>
        </w:rPr>
      </w:pPr>
      <w:r>
        <w:rPr>
          <w:rFonts w:hint="eastAsia" w:ascii="宋体" w:hAnsi="宋体" w:eastAsia="宋体"/>
          <w:b/>
        </w:rPr>
        <w:t>（略）</w:t>
      </w:r>
      <w:r>
        <w:rPr>
          <w:rFonts w:ascii="宋体" w:hAnsi="宋体" w:eastAsia="宋体"/>
          <w:b/>
        </w:rPr>
        <w:br w:type="page"/>
      </w:r>
      <w:r>
        <w:rPr>
          <w:rFonts w:hint="eastAsia" w:ascii="宋体" w:hAnsi="宋体" w:eastAsia="宋体"/>
          <w:b/>
        </w:rPr>
        <w:t>第三部分  专用合同条款</w:t>
      </w:r>
      <w:bookmarkEnd w:id="90"/>
    </w:p>
    <w:bookmarkEnd w:id="91"/>
    <w:bookmarkEnd w:id="92"/>
    <w:bookmarkEnd w:id="93"/>
    <w:p>
      <w:pPr>
        <w:snapToGrid w:val="0"/>
        <w:spacing w:line="360" w:lineRule="exact"/>
        <w:rPr>
          <w:rFonts w:ascii="宋体" w:hAnsi="宋体" w:cs="宋体"/>
          <w:sz w:val="22"/>
        </w:rPr>
      </w:pPr>
      <w:r>
        <w:rPr>
          <w:rFonts w:hint="eastAsia" w:ascii="宋体" w:hAnsi="宋体" w:cs="宋体"/>
          <w:sz w:val="22"/>
        </w:rPr>
        <w:t>1．一般约定</w:t>
      </w:r>
    </w:p>
    <w:p>
      <w:pPr>
        <w:snapToGrid w:val="0"/>
        <w:spacing w:line="360" w:lineRule="exact"/>
        <w:rPr>
          <w:rFonts w:ascii="宋体" w:hAnsi="宋体" w:cs="宋体"/>
          <w:sz w:val="22"/>
        </w:rPr>
      </w:pPr>
      <w:r>
        <w:rPr>
          <w:rFonts w:hint="eastAsia" w:ascii="宋体" w:hAnsi="宋体" w:cs="宋体"/>
          <w:sz w:val="22"/>
        </w:rPr>
        <w:t>1.1 词语定义</w:t>
      </w:r>
    </w:p>
    <w:p>
      <w:pPr>
        <w:snapToGrid w:val="0"/>
        <w:spacing w:line="360" w:lineRule="exact"/>
        <w:ind w:firstLine="440" w:firstLineChars="200"/>
        <w:rPr>
          <w:rFonts w:ascii="宋体" w:hAnsi="宋体" w:cs="宋体"/>
          <w:sz w:val="22"/>
        </w:rPr>
      </w:pPr>
      <w:r>
        <w:rPr>
          <w:rFonts w:hint="eastAsia" w:ascii="宋体" w:hAnsi="宋体" w:cs="宋体"/>
          <w:sz w:val="22"/>
        </w:rPr>
        <w:t>1.1.2 合同当事人和人员</w:t>
      </w:r>
    </w:p>
    <w:p>
      <w:pPr>
        <w:snapToGrid w:val="0"/>
        <w:spacing w:line="360" w:lineRule="exact"/>
        <w:ind w:firstLine="440" w:firstLineChars="200"/>
        <w:rPr>
          <w:rFonts w:ascii="宋体" w:hAnsi="宋体" w:cs="宋体"/>
          <w:sz w:val="22"/>
        </w:rPr>
      </w:pPr>
      <w:r>
        <w:rPr>
          <w:rFonts w:hint="eastAsia" w:ascii="宋体" w:hAnsi="宋体" w:cs="宋体"/>
          <w:sz w:val="22"/>
        </w:rPr>
        <w:t>1.1.2.2 发包人：</w:t>
      </w:r>
      <w:r>
        <w:rPr>
          <w:rFonts w:ascii="宋体" w:hAnsi="宋体" w:cs="宋体"/>
          <w:sz w:val="22"/>
        </w:rPr>
        <w:t xml:space="preserve"> </w:t>
      </w:r>
    </w:p>
    <w:p>
      <w:pPr>
        <w:snapToGrid w:val="0"/>
        <w:spacing w:line="360" w:lineRule="exact"/>
        <w:ind w:firstLine="440" w:firstLineChars="200"/>
        <w:rPr>
          <w:rFonts w:ascii="宋体" w:hAnsi="宋体" w:cs="宋体"/>
          <w:sz w:val="22"/>
        </w:rPr>
      </w:pPr>
      <w:r>
        <w:rPr>
          <w:rFonts w:hint="eastAsia" w:ascii="宋体" w:hAnsi="宋体" w:cs="宋体"/>
          <w:sz w:val="22"/>
        </w:rPr>
        <w:t xml:space="preserve">1.1.2.3 承包人： </w:t>
      </w:r>
    </w:p>
    <w:p>
      <w:pPr>
        <w:snapToGrid w:val="0"/>
        <w:spacing w:line="360" w:lineRule="exact"/>
        <w:ind w:firstLine="440" w:firstLineChars="200"/>
        <w:rPr>
          <w:rFonts w:ascii="宋体" w:hAnsi="宋体" w:cs="宋体"/>
          <w:sz w:val="22"/>
        </w:rPr>
      </w:pPr>
      <w:r>
        <w:rPr>
          <w:rFonts w:hint="eastAsia" w:ascii="宋体" w:hAnsi="宋体" w:cs="宋体"/>
          <w:sz w:val="22"/>
        </w:rPr>
        <w:t>1.1.2.4 承包人项目经理：</w:t>
      </w:r>
    </w:p>
    <w:p>
      <w:pPr>
        <w:snapToGrid w:val="0"/>
        <w:spacing w:line="360" w:lineRule="exact"/>
        <w:ind w:firstLine="440" w:firstLineChars="200"/>
        <w:rPr>
          <w:rFonts w:ascii="宋体" w:hAnsi="宋体" w:cs="宋体"/>
          <w:sz w:val="22"/>
        </w:rPr>
      </w:pPr>
      <w:r>
        <w:rPr>
          <w:rFonts w:hint="eastAsia" w:ascii="宋体" w:hAnsi="宋体" w:cs="宋体"/>
          <w:sz w:val="22"/>
        </w:rPr>
        <w:t>1.1.2.6 监理人：</w:t>
      </w:r>
    </w:p>
    <w:p>
      <w:pPr>
        <w:snapToGrid w:val="0"/>
        <w:spacing w:line="360" w:lineRule="exact"/>
        <w:ind w:firstLine="440" w:firstLineChars="200"/>
        <w:rPr>
          <w:rFonts w:ascii="宋体" w:hAnsi="宋体" w:cs="宋体"/>
          <w:sz w:val="22"/>
        </w:rPr>
      </w:pPr>
      <w:r>
        <w:rPr>
          <w:rFonts w:hint="eastAsia" w:ascii="宋体" w:hAnsi="宋体" w:cs="宋体"/>
          <w:sz w:val="22"/>
        </w:rPr>
        <w:t>1.1.2.7 总监理工程师（总监）：</w:t>
      </w:r>
    </w:p>
    <w:p>
      <w:pPr>
        <w:snapToGrid w:val="0"/>
        <w:spacing w:line="360" w:lineRule="exact"/>
        <w:ind w:firstLine="440" w:firstLineChars="200"/>
        <w:rPr>
          <w:rFonts w:ascii="宋体" w:hAnsi="宋体" w:cs="宋体"/>
          <w:sz w:val="22"/>
        </w:rPr>
      </w:pPr>
      <w:r>
        <w:rPr>
          <w:rFonts w:hint="eastAsia" w:ascii="宋体" w:hAnsi="宋体" w:cs="宋体"/>
          <w:sz w:val="22"/>
        </w:rPr>
        <w:t>1.1.3 工程和设备</w:t>
      </w:r>
    </w:p>
    <w:p>
      <w:pPr>
        <w:snapToGrid w:val="0"/>
        <w:spacing w:line="360" w:lineRule="exact"/>
        <w:ind w:firstLine="440" w:firstLineChars="200"/>
        <w:rPr>
          <w:rFonts w:ascii="宋体" w:hAnsi="宋体" w:cs="宋体"/>
          <w:sz w:val="22"/>
        </w:rPr>
      </w:pPr>
      <w:r>
        <w:rPr>
          <w:rFonts w:hint="eastAsia" w:ascii="宋体" w:hAnsi="宋体" w:cs="宋体"/>
          <w:sz w:val="22"/>
        </w:rPr>
        <w:t>1.1.3.4 工程名称：</w:t>
      </w:r>
    </w:p>
    <w:p>
      <w:pPr>
        <w:snapToGrid w:val="0"/>
        <w:spacing w:line="360" w:lineRule="exact"/>
        <w:ind w:firstLine="440" w:firstLineChars="200"/>
        <w:rPr>
          <w:rFonts w:ascii="宋体" w:hAnsi="宋体" w:cs="宋体"/>
          <w:sz w:val="22"/>
        </w:rPr>
      </w:pPr>
      <w:r>
        <w:rPr>
          <w:rFonts w:hint="eastAsia" w:ascii="宋体" w:hAnsi="宋体" w:cs="宋体"/>
          <w:sz w:val="22"/>
        </w:rPr>
        <w:t>1.1.3.10 永久占地：本工程建筑红线范围内占用的土地。</w:t>
      </w:r>
    </w:p>
    <w:p>
      <w:pPr>
        <w:snapToGrid w:val="0"/>
        <w:spacing w:line="360" w:lineRule="exact"/>
        <w:ind w:firstLine="440" w:firstLineChars="200"/>
        <w:rPr>
          <w:rFonts w:ascii="宋体" w:hAnsi="宋体" w:cs="宋体"/>
          <w:sz w:val="22"/>
        </w:rPr>
      </w:pPr>
      <w:r>
        <w:rPr>
          <w:rFonts w:hint="eastAsia" w:ascii="宋体" w:hAnsi="宋体" w:cs="宋体"/>
          <w:sz w:val="22"/>
        </w:rPr>
        <w:t>1.1.3.11 临时占地：除永久占地外，经发包人确认的施工总平面图内的土地。</w:t>
      </w:r>
    </w:p>
    <w:p>
      <w:pPr>
        <w:snapToGrid w:val="0"/>
        <w:spacing w:line="360" w:lineRule="exact"/>
        <w:ind w:firstLine="440" w:firstLineChars="200"/>
        <w:rPr>
          <w:rFonts w:ascii="宋体" w:hAnsi="宋体" w:cs="宋体"/>
          <w:sz w:val="22"/>
        </w:rPr>
      </w:pPr>
      <w:r>
        <w:rPr>
          <w:rFonts w:hint="eastAsia" w:ascii="宋体" w:hAnsi="宋体" w:cs="宋体"/>
          <w:sz w:val="22"/>
        </w:rPr>
        <w:t>1.1.4 日期</w:t>
      </w:r>
    </w:p>
    <w:p>
      <w:pPr>
        <w:snapToGrid w:val="0"/>
        <w:spacing w:line="360" w:lineRule="exact"/>
        <w:rPr>
          <w:rFonts w:ascii="宋体" w:hAnsi="宋体" w:cs="宋体"/>
          <w:sz w:val="22"/>
        </w:rPr>
      </w:pPr>
      <w:r>
        <w:rPr>
          <w:rFonts w:hint="eastAsia" w:ascii="宋体" w:hAnsi="宋体" w:cs="宋体"/>
          <w:sz w:val="22"/>
        </w:rPr>
        <w:t>1.4 合同文件的优先顺序</w:t>
      </w:r>
    </w:p>
    <w:p>
      <w:pPr>
        <w:snapToGrid w:val="0"/>
        <w:spacing w:line="360" w:lineRule="exact"/>
        <w:ind w:firstLine="440" w:firstLineChars="200"/>
        <w:rPr>
          <w:rFonts w:ascii="宋体" w:hAnsi="宋体" w:cs="宋体"/>
          <w:sz w:val="22"/>
        </w:rPr>
      </w:pPr>
      <w:r>
        <w:rPr>
          <w:rFonts w:hint="eastAsia" w:ascii="宋体" w:hAnsi="宋体" w:cs="宋体"/>
          <w:sz w:val="22"/>
        </w:rPr>
        <w:t>合同文件组成及解释顺序：</w:t>
      </w:r>
    </w:p>
    <w:p>
      <w:pPr>
        <w:snapToGrid w:val="0"/>
        <w:spacing w:line="360" w:lineRule="exact"/>
        <w:ind w:firstLine="440" w:firstLineChars="200"/>
        <w:rPr>
          <w:rFonts w:ascii="宋体" w:hAnsi="宋体" w:cs="宋体"/>
          <w:sz w:val="22"/>
        </w:rPr>
      </w:pPr>
      <w:r>
        <w:rPr>
          <w:rFonts w:hint="eastAsia" w:ascii="宋体" w:hAnsi="宋体" w:cs="宋体"/>
          <w:sz w:val="22"/>
        </w:rPr>
        <w:t xml:space="preserve"> (1)本合同书面（补充）协议以及合同履行中，双方有关工程的洽谈、变更等书面协议或文件；（2）本合同协议书（含合同谈判纪要）；（3）中标通知书；（4）本合同专用条款；（5）招标文件及其补充文件（包括询标记录）（6）投标文件及其附件；（7）本合同通用条款；（8）标准、规范及有关技术文件；（9）图纸；（10）工程量清单；（11）工程报价书。 </w:t>
      </w:r>
    </w:p>
    <w:p>
      <w:pPr>
        <w:snapToGrid w:val="0"/>
        <w:spacing w:line="360" w:lineRule="exact"/>
        <w:rPr>
          <w:rFonts w:ascii="宋体" w:hAnsi="宋体" w:cs="宋体"/>
          <w:sz w:val="22"/>
        </w:rPr>
      </w:pPr>
      <w:r>
        <w:rPr>
          <w:rFonts w:hint="eastAsia" w:ascii="宋体" w:hAnsi="宋体" w:cs="宋体"/>
          <w:sz w:val="22"/>
        </w:rPr>
        <w:t>1.6 图纸和承包人文件</w:t>
      </w:r>
    </w:p>
    <w:p>
      <w:pPr>
        <w:snapToGrid w:val="0"/>
        <w:spacing w:line="360" w:lineRule="exact"/>
        <w:ind w:firstLine="440" w:firstLineChars="200"/>
        <w:rPr>
          <w:rFonts w:ascii="宋体" w:hAnsi="宋体" w:cs="宋体"/>
          <w:sz w:val="22"/>
        </w:rPr>
      </w:pPr>
      <w:r>
        <w:rPr>
          <w:rFonts w:hint="eastAsia" w:ascii="宋体" w:hAnsi="宋体" w:cs="宋体"/>
          <w:sz w:val="22"/>
        </w:rPr>
        <w:t>1.6.1发包人向承包人提供图纸日期和套数：开工前7天内提供施工图8套（包括竣工图使用的图纸4套），不足部分承包人可向发包人提请加晒，费用由承包人自负。标准图集由承包人自备。</w:t>
      </w:r>
    </w:p>
    <w:p>
      <w:pPr>
        <w:snapToGrid w:val="0"/>
        <w:spacing w:line="360" w:lineRule="exact"/>
        <w:ind w:firstLine="440" w:firstLineChars="200"/>
        <w:rPr>
          <w:rFonts w:ascii="宋体" w:hAnsi="宋体" w:cs="宋体"/>
          <w:sz w:val="22"/>
        </w:rPr>
      </w:pPr>
      <w:r>
        <w:rPr>
          <w:rFonts w:hint="eastAsia" w:ascii="宋体" w:hAnsi="宋体" w:cs="宋体"/>
          <w:sz w:val="22"/>
        </w:rPr>
        <w:t>1.6.3 图纸修改图具体签发期限：在该工程或工程相应部位施工前的3天内。</w:t>
      </w:r>
    </w:p>
    <w:p>
      <w:pPr>
        <w:snapToGrid w:val="0"/>
        <w:spacing w:line="360" w:lineRule="exact"/>
        <w:rPr>
          <w:rFonts w:ascii="宋体" w:hAnsi="宋体" w:cs="宋体"/>
          <w:sz w:val="22"/>
        </w:rPr>
      </w:pPr>
      <w:r>
        <w:rPr>
          <w:rFonts w:hint="eastAsia" w:ascii="宋体" w:hAnsi="宋体" w:cs="宋体"/>
          <w:sz w:val="22"/>
        </w:rPr>
        <w:t>1.7联络</w:t>
      </w:r>
    </w:p>
    <w:p>
      <w:pPr>
        <w:snapToGrid w:val="0"/>
        <w:spacing w:line="360" w:lineRule="exact"/>
        <w:ind w:firstLine="440" w:firstLineChars="200"/>
        <w:rPr>
          <w:rFonts w:ascii="宋体" w:hAnsi="宋体" w:cs="宋体"/>
          <w:sz w:val="22"/>
        </w:rPr>
      </w:pPr>
      <w:r>
        <w:rPr>
          <w:rFonts w:hint="eastAsia" w:ascii="宋体" w:hAnsi="宋体" w:cs="宋体"/>
          <w:sz w:val="22"/>
        </w:rPr>
        <w:t>1.7.3 承包人的地址：     邮编：</w:t>
      </w:r>
    </w:p>
    <w:p>
      <w:pPr>
        <w:snapToGrid w:val="0"/>
        <w:spacing w:line="360" w:lineRule="exact"/>
        <w:ind w:firstLine="440" w:firstLineChars="200"/>
        <w:rPr>
          <w:rFonts w:ascii="宋体" w:hAnsi="宋体" w:cs="宋体"/>
          <w:sz w:val="22"/>
        </w:rPr>
      </w:pPr>
      <w:r>
        <w:rPr>
          <w:rFonts w:hint="eastAsia" w:ascii="宋体" w:hAnsi="宋体" w:cs="宋体"/>
          <w:sz w:val="22"/>
        </w:rPr>
        <w:t>1.7.4 发包人的地址：</w:t>
      </w:r>
      <w:r>
        <w:rPr>
          <w:rFonts w:hint="eastAsia" w:ascii="宋体" w:hAnsi="宋体" w:cs="宋体"/>
          <w:sz w:val="22"/>
          <w:u w:val="single"/>
        </w:rPr>
        <w:t>杭州萧山国际机场内</w:t>
      </w:r>
      <w:r>
        <w:rPr>
          <w:rFonts w:hint="eastAsia" w:ascii="宋体" w:hAnsi="宋体" w:cs="宋体"/>
          <w:sz w:val="22"/>
        </w:rPr>
        <w:t xml:space="preserve">            邮编：</w:t>
      </w:r>
      <w:r>
        <w:rPr>
          <w:rFonts w:hint="eastAsia" w:ascii="宋体" w:hAnsi="宋体" w:cs="宋体"/>
          <w:sz w:val="22"/>
          <w:u w:val="single"/>
        </w:rPr>
        <w:t>311207</w:t>
      </w:r>
    </w:p>
    <w:p>
      <w:pPr>
        <w:snapToGrid w:val="0"/>
        <w:spacing w:line="360" w:lineRule="exact"/>
        <w:ind w:firstLine="440" w:firstLineChars="200"/>
        <w:rPr>
          <w:rFonts w:ascii="宋体" w:hAnsi="宋体" w:cs="宋体"/>
          <w:sz w:val="22"/>
        </w:rPr>
      </w:pPr>
      <w:r>
        <w:rPr>
          <w:rFonts w:hint="eastAsia" w:ascii="宋体" w:hAnsi="宋体" w:cs="宋体"/>
          <w:sz w:val="22"/>
        </w:rPr>
        <w:t>1.7.5 如一方拒绝签收另一方通知，另一方以</w:t>
      </w:r>
      <w:r>
        <w:rPr>
          <w:rFonts w:hint="eastAsia" w:ascii="宋体" w:hAnsi="宋体" w:cs="宋体"/>
          <w:sz w:val="22"/>
          <w:u w:val="single"/>
        </w:rPr>
        <w:t xml:space="preserve"> 邮递快件 </w:t>
      </w:r>
      <w:r>
        <w:rPr>
          <w:rFonts w:hint="eastAsia" w:ascii="宋体" w:hAnsi="宋体" w:cs="宋体"/>
          <w:sz w:val="22"/>
        </w:rPr>
        <w:t>方式将通知送至专用条款中指定的地址，视为送达。</w:t>
      </w:r>
    </w:p>
    <w:p>
      <w:pPr>
        <w:snapToGrid w:val="0"/>
        <w:spacing w:line="360" w:lineRule="exact"/>
        <w:rPr>
          <w:rFonts w:ascii="宋体" w:hAnsi="宋体" w:cs="宋体"/>
          <w:sz w:val="22"/>
        </w:rPr>
      </w:pPr>
      <w:r>
        <w:rPr>
          <w:rFonts w:hint="eastAsia" w:ascii="宋体" w:hAnsi="宋体" w:cs="宋体"/>
          <w:sz w:val="22"/>
        </w:rPr>
        <w:t>2．发包人义务</w:t>
      </w:r>
    </w:p>
    <w:p>
      <w:pPr>
        <w:snapToGrid w:val="0"/>
        <w:spacing w:line="360" w:lineRule="exact"/>
        <w:rPr>
          <w:rFonts w:ascii="宋体" w:hAnsi="宋体" w:cs="宋体"/>
          <w:sz w:val="22"/>
        </w:rPr>
      </w:pPr>
      <w:r>
        <w:rPr>
          <w:rFonts w:hint="eastAsia" w:ascii="宋体" w:hAnsi="宋体" w:cs="宋体"/>
          <w:sz w:val="22"/>
        </w:rPr>
        <w:t>2.3 提供施工场地</w:t>
      </w:r>
    </w:p>
    <w:p>
      <w:pPr>
        <w:snapToGrid w:val="0"/>
        <w:spacing w:line="360" w:lineRule="exact"/>
        <w:ind w:firstLine="440" w:firstLineChars="200"/>
        <w:rPr>
          <w:rFonts w:ascii="宋体" w:hAnsi="宋体" w:cs="宋体"/>
          <w:sz w:val="22"/>
        </w:rPr>
      </w:pPr>
      <w:r>
        <w:rPr>
          <w:rFonts w:hint="eastAsia" w:ascii="宋体" w:hAnsi="宋体" w:cs="宋体"/>
          <w:sz w:val="22"/>
        </w:rPr>
        <w:t>施工场地具备施工条件的要求及完成的时间：为开工日期前不少于3天。</w:t>
      </w:r>
    </w:p>
    <w:p>
      <w:pPr>
        <w:snapToGrid w:val="0"/>
        <w:spacing w:line="360" w:lineRule="exact"/>
        <w:ind w:firstLine="440" w:firstLineChars="200"/>
        <w:rPr>
          <w:rFonts w:ascii="宋体" w:hAnsi="宋体" w:cs="宋体"/>
          <w:sz w:val="22"/>
        </w:rPr>
      </w:pPr>
      <w:r>
        <w:rPr>
          <w:rFonts w:hint="eastAsia" w:ascii="宋体" w:hAnsi="宋体" w:cs="宋体"/>
          <w:sz w:val="22"/>
        </w:rPr>
        <w:t>施工场地内地下管线和地下设施等有关资料的提供时间：为开工日期前不少于3天。</w:t>
      </w:r>
    </w:p>
    <w:p>
      <w:pPr>
        <w:snapToGrid w:val="0"/>
        <w:spacing w:line="360" w:lineRule="exact"/>
        <w:rPr>
          <w:rFonts w:ascii="宋体" w:hAnsi="宋体" w:cs="宋体"/>
          <w:sz w:val="22"/>
        </w:rPr>
      </w:pPr>
      <w:r>
        <w:rPr>
          <w:rFonts w:hint="eastAsia" w:ascii="宋体" w:hAnsi="宋体" w:cs="宋体"/>
          <w:sz w:val="22"/>
        </w:rPr>
        <w:t>3．监理人</w:t>
      </w:r>
    </w:p>
    <w:p>
      <w:pPr>
        <w:snapToGrid w:val="0"/>
        <w:spacing w:line="360" w:lineRule="exact"/>
        <w:rPr>
          <w:rFonts w:ascii="宋体" w:hAnsi="宋体" w:cs="宋体"/>
          <w:sz w:val="22"/>
        </w:rPr>
      </w:pPr>
      <w:r>
        <w:rPr>
          <w:rFonts w:hint="eastAsia" w:ascii="宋体" w:hAnsi="宋体" w:cs="宋体"/>
          <w:sz w:val="22"/>
        </w:rPr>
        <w:t>3.1 监理人的职责和权力</w:t>
      </w:r>
    </w:p>
    <w:p>
      <w:pPr>
        <w:snapToGrid w:val="0"/>
        <w:spacing w:line="360" w:lineRule="exact"/>
        <w:ind w:firstLine="440" w:firstLineChars="200"/>
        <w:rPr>
          <w:rFonts w:ascii="宋体" w:hAnsi="宋体" w:cs="宋体"/>
          <w:sz w:val="22"/>
        </w:rPr>
      </w:pPr>
      <w:r>
        <w:rPr>
          <w:rFonts w:hint="eastAsia" w:ascii="宋体" w:hAnsi="宋体" w:cs="宋体"/>
          <w:sz w:val="22"/>
        </w:rPr>
        <w:t>3.1.1 需要经发包人事先批准才能行使的职权：</w:t>
      </w:r>
    </w:p>
    <w:p>
      <w:pPr>
        <w:snapToGrid w:val="0"/>
        <w:spacing w:line="360" w:lineRule="exact"/>
        <w:ind w:firstLine="440" w:firstLineChars="200"/>
        <w:rPr>
          <w:rFonts w:ascii="宋体" w:hAnsi="宋体" w:cs="宋体"/>
          <w:sz w:val="22"/>
        </w:rPr>
      </w:pPr>
      <w:r>
        <w:rPr>
          <w:rFonts w:hint="eastAsia" w:ascii="宋体" w:hAnsi="宋体" w:cs="宋体"/>
          <w:sz w:val="22"/>
        </w:rPr>
        <w:t>（1）影响工期的施工暂停；</w:t>
      </w:r>
    </w:p>
    <w:p>
      <w:pPr>
        <w:snapToGrid w:val="0"/>
        <w:spacing w:line="360" w:lineRule="exact"/>
        <w:ind w:firstLine="440" w:firstLineChars="200"/>
        <w:rPr>
          <w:rFonts w:ascii="宋体" w:hAnsi="宋体" w:cs="宋体"/>
          <w:sz w:val="22"/>
        </w:rPr>
      </w:pPr>
      <w:r>
        <w:rPr>
          <w:rFonts w:hint="eastAsia" w:ascii="宋体" w:hAnsi="宋体" w:cs="宋体"/>
          <w:sz w:val="22"/>
        </w:rPr>
        <w:t>（2）工程变更、设计变更的估价；</w:t>
      </w:r>
    </w:p>
    <w:p>
      <w:pPr>
        <w:snapToGrid w:val="0"/>
        <w:spacing w:line="360" w:lineRule="exact"/>
        <w:ind w:firstLine="440" w:firstLineChars="200"/>
        <w:rPr>
          <w:rFonts w:ascii="宋体" w:hAnsi="宋体" w:cs="宋体"/>
          <w:sz w:val="22"/>
        </w:rPr>
      </w:pPr>
      <w:r>
        <w:rPr>
          <w:rFonts w:hint="eastAsia" w:ascii="宋体" w:hAnsi="宋体" w:cs="宋体"/>
          <w:sz w:val="22"/>
        </w:rPr>
        <w:t>（3）索赔价款的确定和支付；</w:t>
      </w:r>
    </w:p>
    <w:p>
      <w:pPr>
        <w:snapToGrid w:val="0"/>
        <w:spacing w:line="360" w:lineRule="exact"/>
        <w:ind w:firstLine="440" w:firstLineChars="200"/>
        <w:rPr>
          <w:rFonts w:ascii="宋体" w:hAnsi="宋体" w:cs="宋体"/>
          <w:sz w:val="22"/>
        </w:rPr>
      </w:pPr>
      <w:r>
        <w:rPr>
          <w:rFonts w:hint="eastAsia" w:ascii="宋体" w:hAnsi="宋体" w:cs="宋体"/>
          <w:sz w:val="22"/>
        </w:rPr>
        <w:t>（4）涉及改变原设计意图的变更；</w:t>
      </w:r>
    </w:p>
    <w:p>
      <w:pPr>
        <w:snapToGrid w:val="0"/>
        <w:spacing w:line="360" w:lineRule="exact"/>
        <w:ind w:firstLine="440" w:firstLineChars="200"/>
        <w:rPr>
          <w:rFonts w:ascii="宋体" w:hAnsi="宋体" w:cs="宋体"/>
          <w:sz w:val="22"/>
        </w:rPr>
      </w:pPr>
      <w:r>
        <w:rPr>
          <w:rFonts w:hint="eastAsia" w:ascii="宋体" w:hAnsi="宋体" w:cs="宋体"/>
          <w:sz w:val="22"/>
        </w:rPr>
        <w:t>（5）对承包人合同规定的义务提出变更；</w:t>
      </w:r>
    </w:p>
    <w:p>
      <w:pPr>
        <w:snapToGrid w:val="0"/>
        <w:spacing w:line="360" w:lineRule="exact"/>
        <w:ind w:firstLine="440" w:firstLineChars="200"/>
        <w:rPr>
          <w:rFonts w:ascii="宋体" w:hAnsi="宋体" w:cs="宋体"/>
          <w:sz w:val="22"/>
        </w:rPr>
      </w:pPr>
      <w:r>
        <w:rPr>
          <w:rFonts w:hint="eastAsia" w:ascii="宋体" w:hAnsi="宋体" w:cs="宋体"/>
          <w:sz w:val="22"/>
        </w:rPr>
        <w:t>（6）暂估价的确定；</w:t>
      </w:r>
    </w:p>
    <w:p>
      <w:pPr>
        <w:snapToGrid w:val="0"/>
        <w:spacing w:line="360" w:lineRule="exact"/>
        <w:ind w:firstLine="440" w:firstLineChars="200"/>
        <w:rPr>
          <w:rFonts w:ascii="宋体" w:hAnsi="宋体" w:cs="宋体"/>
          <w:sz w:val="22"/>
        </w:rPr>
      </w:pPr>
      <w:r>
        <w:rPr>
          <w:rFonts w:hint="eastAsia" w:ascii="宋体" w:hAnsi="宋体" w:cs="宋体"/>
          <w:sz w:val="22"/>
        </w:rPr>
        <w:t>（7）超出施工合同约定的工程价格的调整和变更。</w:t>
      </w:r>
    </w:p>
    <w:p>
      <w:pPr>
        <w:snapToGrid w:val="0"/>
        <w:spacing w:line="360" w:lineRule="exact"/>
        <w:rPr>
          <w:rFonts w:ascii="宋体" w:hAnsi="宋体" w:cs="宋体"/>
          <w:sz w:val="22"/>
        </w:rPr>
      </w:pPr>
      <w:r>
        <w:rPr>
          <w:rFonts w:hint="eastAsia" w:ascii="宋体" w:hAnsi="宋体" w:cs="宋体"/>
          <w:sz w:val="22"/>
        </w:rPr>
        <w:t>4．承包人</w:t>
      </w:r>
    </w:p>
    <w:p>
      <w:pPr>
        <w:snapToGrid w:val="0"/>
        <w:spacing w:line="360" w:lineRule="exact"/>
        <w:rPr>
          <w:rFonts w:ascii="宋体" w:hAnsi="宋体" w:cs="宋体"/>
          <w:sz w:val="22"/>
        </w:rPr>
      </w:pPr>
      <w:r>
        <w:rPr>
          <w:rFonts w:hint="eastAsia" w:ascii="宋体" w:hAnsi="宋体" w:cs="宋体"/>
          <w:sz w:val="22"/>
        </w:rPr>
        <w:t>4.1 承包人的一般义务</w:t>
      </w:r>
    </w:p>
    <w:p>
      <w:pPr>
        <w:snapToGrid w:val="0"/>
        <w:spacing w:line="360" w:lineRule="exact"/>
        <w:ind w:firstLine="440" w:firstLineChars="200"/>
        <w:rPr>
          <w:rFonts w:ascii="宋体" w:hAnsi="宋体" w:cs="宋体"/>
          <w:b/>
          <w:sz w:val="22"/>
        </w:rPr>
      </w:pPr>
      <w:r>
        <w:rPr>
          <w:rFonts w:hint="eastAsia" w:ascii="宋体" w:hAnsi="宋体" w:cs="宋体"/>
          <w:sz w:val="22"/>
        </w:rPr>
        <w:t>4.1.10 承包人应无条件执行国家以及建筑业、法规、规章、规范和技术标准，服从机场当局管理，诚信履行投标承诺和本合同，</w:t>
      </w:r>
      <w:r>
        <w:rPr>
          <w:rFonts w:hint="eastAsia" w:ascii="宋体" w:hAnsi="宋体" w:cs="宋体"/>
          <w:b/>
          <w:sz w:val="22"/>
        </w:rPr>
        <w:t>承包人应严格遵守国家有关解决拖欠工程款和民工工资的法律、法规，及时支付工程中的材料（设备）货款、专业分包工程（若有）及农民工工资等费用。若在施工过程中，发现承包人有拖欠材料（设备）供应商货款、专业分包工程（若有）及民工工资现象时，发包人有权从承包人工程款或履约担保金中扣除该费用，直接支付给被拖欠材料（设备）供应商货款、专业分包工程（若有）及农民工，所造成的一切损失均由承包人承担，同时承包人必须无条件执行合同约定的内容。再者：承包人与供应商签订合同时，必须经发包人认可并备案，否则，发包人有权拒付相应费用。</w:t>
      </w:r>
    </w:p>
    <w:p>
      <w:pPr>
        <w:snapToGrid w:val="0"/>
        <w:spacing w:line="360" w:lineRule="exact"/>
        <w:ind w:firstLine="440" w:firstLineChars="200"/>
        <w:rPr>
          <w:rFonts w:ascii="宋体" w:hAnsi="宋体" w:cs="宋体"/>
          <w:sz w:val="22"/>
        </w:rPr>
      </w:pPr>
      <w:r>
        <w:rPr>
          <w:rFonts w:hint="eastAsia" w:ascii="宋体" w:hAnsi="宋体" w:cs="宋体"/>
          <w:sz w:val="22"/>
        </w:rPr>
        <w:t>4.1.11建筑垃圾应严格按照发包人的要求进行堆放并及时清运，垃圾弃运地点由承包人自行联系解决，严禁弃至机场场区内，始终保持施工场地及周边道面、环境的整洁。若发现承包人未按发包人要求进行垃圾堆放的，每发现一次处以1000元罚款，并必须立即清除；对于在机场场区内随意弃运垃圾的，每发现一次处以10000元罚款，并必须立即清运出场外。</w:t>
      </w:r>
    </w:p>
    <w:p>
      <w:pPr>
        <w:snapToGrid w:val="0"/>
        <w:spacing w:line="360" w:lineRule="exact"/>
        <w:rPr>
          <w:rFonts w:ascii="宋体" w:hAnsi="宋体" w:cs="宋体"/>
          <w:sz w:val="22"/>
        </w:rPr>
      </w:pPr>
      <w:r>
        <w:rPr>
          <w:rFonts w:hint="eastAsia" w:ascii="宋体" w:hAnsi="宋体" w:cs="宋体"/>
          <w:sz w:val="22"/>
        </w:rPr>
        <w:t>4.2 履约担保</w:t>
      </w:r>
    </w:p>
    <w:p>
      <w:pPr>
        <w:snapToGrid w:val="0"/>
        <w:spacing w:line="360" w:lineRule="exact"/>
        <w:ind w:firstLine="440" w:firstLineChars="200"/>
        <w:rPr>
          <w:rFonts w:ascii="宋体" w:hAnsi="宋体" w:cs="宋体"/>
          <w:sz w:val="22"/>
        </w:rPr>
      </w:pPr>
      <w:r>
        <w:rPr>
          <w:rFonts w:hint="eastAsia" w:ascii="宋体" w:hAnsi="宋体" w:cs="宋体"/>
          <w:sz w:val="22"/>
        </w:rPr>
        <w:t>无</w:t>
      </w:r>
    </w:p>
    <w:p>
      <w:pPr>
        <w:snapToGrid w:val="0"/>
        <w:spacing w:line="360" w:lineRule="exact"/>
        <w:rPr>
          <w:rFonts w:ascii="宋体" w:hAnsi="宋体" w:cs="宋体"/>
          <w:sz w:val="22"/>
        </w:rPr>
      </w:pPr>
      <w:r>
        <w:rPr>
          <w:rFonts w:hint="eastAsia" w:ascii="宋体" w:hAnsi="宋体" w:cs="宋体"/>
          <w:sz w:val="22"/>
        </w:rPr>
        <w:t>4.5 承包人项目经理</w:t>
      </w:r>
    </w:p>
    <w:p>
      <w:pPr>
        <w:snapToGrid w:val="0"/>
        <w:spacing w:line="360" w:lineRule="exact"/>
        <w:ind w:firstLine="440" w:firstLineChars="200"/>
        <w:rPr>
          <w:rFonts w:ascii="宋体" w:hAnsi="宋体" w:cs="宋体"/>
          <w:sz w:val="22"/>
        </w:rPr>
      </w:pPr>
      <w:r>
        <w:rPr>
          <w:rFonts w:hint="eastAsia" w:ascii="宋体" w:hAnsi="宋体" w:cs="宋体"/>
          <w:sz w:val="22"/>
        </w:rPr>
        <w:t>4.5.5项目经理和施工管理架构的管理人员应与承包人投标文件一致，发包人原则上不接受承包人调整项目经理的要求。</w:t>
      </w:r>
    </w:p>
    <w:p>
      <w:pPr>
        <w:snapToGrid w:val="0"/>
        <w:spacing w:line="360" w:lineRule="exact"/>
        <w:ind w:firstLine="440" w:firstLineChars="200"/>
        <w:rPr>
          <w:rFonts w:ascii="宋体" w:hAnsi="宋体" w:cs="宋体"/>
          <w:sz w:val="22"/>
        </w:rPr>
      </w:pPr>
      <w:r>
        <w:rPr>
          <w:rFonts w:hint="eastAsia" w:ascii="宋体" w:hAnsi="宋体" w:cs="宋体"/>
          <w:sz w:val="22"/>
        </w:rPr>
        <w:t>（1）确因特殊原因无法到位的，承包人应书面提出申请，但更换的项目经理必须符合或高于招标文件中的各项资质及资格要求，经发包人同意后予以更换；</w:t>
      </w:r>
    </w:p>
    <w:p>
      <w:pPr>
        <w:snapToGrid w:val="0"/>
        <w:spacing w:line="360" w:lineRule="exact"/>
        <w:ind w:firstLine="440" w:firstLineChars="200"/>
        <w:rPr>
          <w:rFonts w:ascii="宋体" w:hAnsi="宋体" w:cs="宋体"/>
          <w:sz w:val="22"/>
        </w:rPr>
      </w:pPr>
      <w:r>
        <w:rPr>
          <w:rFonts w:hint="eastAsia" w:ascii="宋体" w:hAnsi="宋体" w:cs="宋体"/>
          <w:sz w:val="22"/>
        </w:rPr>
        <w:t>（2）在任何情况下，如果发包人认为项目经理不能胜任工作，有权以书面通知，要求承包人更换项目经理；承包人应在收到发包人通知之日起的7天内，按照发包人要求，提出新的项目经理人选，报发包人批准后，立即任命到位。</w:t>
      </w:r>
    </w:p>
    <w:p>
      <w:pPr>
        <w:snapToGrid w:val="0"/>
        <w:spacing w:line="360" w:lineRule="exact"/>
        <w:ind w:firstLine="440" w:firstLineChars="200"/>
        <w:rPr>
          <w:rFonts w:ascii="宋体" w:hAnsi="宋体" w:cs="宋体"/>
          <w:sz w:val="22"/>
        </w:rPr>
      </w:pPr>
      <w:r>
        <w:rPr>
          <w:rFonts w:hint="eastAsia" w:ascii="宋体" w:hAnsi="宋体" w:cs="宋体"/>
          <w:sz w:val="22"/>
        </w:rPr>
        <w:t>（3）出现上述两种情况时，</w:t>
      </w:r>
      <w:r>
        <w:rPr>
          <w:rFonts w:hint="eastAsia" w:ascii="宋体" w:hAnsi="宋体" w:cs="宋体"/>
          <w:b/>
          <w:sz w:val="22"/>
        </w:rPr>
        <w:t>承包人应同时再向发包人支付合同价3%的押金，如因更换后的项目经理组织管理不力，影响工程的按时、保质完成，除承担合同约定的其他违约责任外，发包人还有权没收该部分押金。</w:t>
      </w:r>
      <w:r>
        <w:rPr>
          <w:rFonts w:hint="eastAsia" w:ascii="宋体" w:hAnsi="宋体" w:cs="宋体"/>
          <w:sz w:val="22"/>
        </w:rPr>
        <w:t>若承包人擅自更换项目经理，发包人有权终止合同，向承包人收取合同价10%违约金并向相关部门通报其违约信息。</w:t>
      </w:r>
    </w:p>
    <w:p>
      <w:pPr>
        <w:snapToGrid w:val="0"/>
        <w:spacing w:line="360" w:lineRule="exact"/>
        <w:ind w:firstLine="440" w:firstLineChars="200"/>
        <w:rPr>
          <w:rFonts w:ascii="宋体" w:hAnsi="宋体" w:cs="宋体"/>
          <w:sz w:val="22"/>
        </w:rPr>
      </w:pPr>
      <w:r>
        <w:rPr>
          <w:rFonts w:hint="eastAsia" w:ascii="宋体" w:hAnsi="宋体" w:cs="宋体"/>
          <w:sz w:val="22"/>
        </w:rPr>
        <w:t>4.5.6开工报告批准起至竣工验收合格止，项目经理和技术负责人月到位率均不得少于90％，否则按缺勤天数扣除5000元/人•天的违约金。</w:t>
      </w:r>
    </w:p>
    <w:p>
      <w:pPr>
        <w:snapToGrid w:val="0"/>
        <w:spacing w:line="360" w:lineRule="exact"/>
        <w:rPr>
          <w:rFonts w:ascii="宋体" w:hAnsi="宋体" w:cs="宋体"/>
          <w:sz w:val="22"/>
        </w:rPr>
      </w:pPr>
      <w:r>
        <w:rPr>
          <w:rFonts w:hint="eastAsia" w:ascii="宋体" w:hAnsi="宋体" w:cs="宋体"/>
          <w:sz w:val="22"/>
        </w:rPr>
        <w:t>4.12 承包人其他义务</w:t>
      </w:r>
    </w:p>
    <w:p>
      <w:pPr>
        <w:snapToGrid w:val="0"/>
        <w:spacing w:line="360" w:lineRule="exact"/>
        <w:ind w:firstLine="440" w:firstLineChars="200"/>
        <w:rPr>
          <w:rFonts w:ascii="宋体" w:hAnsi="宋体" w:cs="宋体"/>
          <w:sz w:val="22"/>
        </w:rPr>
      </w:pPr>
      <w:r>
        <w:rPr>
          <w:rFonts w:hint="eastAsia" w:ascii="宋体" w:hAnsi="宋体" w:cs="宋体"/>
          <w:sz w:val="22"/>
        </w:rPr>
        <w:t xml:space="preserve">4.12.1承包人提供施工组织设计和工程进度计划的时间和要求：签订施工合同后10天内，承包人向发包人提交符合工程实际情况的具有可实施性的施工组织设计，并得到发包人的认可。实施性施工组织设计应详细说明整个工程进度计划、施工措施和方案及组织架构、劳动力计划、安全措施计划、机械设备进场计划、材料计划、需要配合的事项、可能遇到的不利因素及相应的措施。在施工过程中，工程实际进度与经确认的施工组织设计和工程进度不符时，承包人应按发包人的要求提出改进措施，经发包人确认后执行，因承包人的原因导致实际进度与进度计划不符，承包人无权就改进措施提出追加合同价款及工期索赔。 </w:t>
      </w:r>
    </w:p>
    <w:p>
      <w:pPr>
        <w:snapToGrid w:val="0"/>
        <w:spacing w:line="360" w:lineRule="exact"/>
        <w:ind w:firstLine="440" w:firstLineChars="200"/>
        <w:rPr>
          <w:rFonts w:ascii="宋体" w:hAnsi="宋体" w:cs="宋体"/>
          <w:sz w:val="22"/>
        </w:rPr>
      </w:pPr>
      <w:r>
        <w:rPr>
          <w:rFonts w:hint="eastAsia" w:ascii="宋体" w:hAnsi="宋体" w:cs="宋体"/>
          <w:sz w:val="22"/>
        </w:rPr>
        <w:t xml:space="preserve">发包人确认的时间：发包人收到承包人提交的施工组织设计和工程进度计划后7天内，予以确认或提出修改意见。  </w:t>
      </w:r>
    </w:p>
    <w:p>
      <w:pPr>
        <w:snapToGrid w:val="0"/>
        <w:spacing w:line="360" w:lineRule="exact"/>
        <w:ind w:firstLine="440" w:firstLineChars="200"/>
        <w:rPr>
          <w:rFonts w:ascii="宋体" w:hAnsi="宋体" w:cs="宋体"/>
          <w:sz w:val="22"/>
        </w:rPr>
      </w:pPr>
      <w:r>
        <w:rPr>
          <w:rFonts w:hint="eastAsia" w:ascii="宋体" w:hAnsi="宋体" w:cs="宋体"/>
          <w:sz w:val="22"/>
        </w:rPr>
        <w:t xml:space="preserve">承包人根据发包人的合理意见提交修改后的施工组织设计和工程进度计划的时间和要求：收到发包人的合理意见后7天内，提交修改后符合要求的施工组织设计和工程进度计划的时间和要求。 </w:t>
      </w:r>
    </w:p>
    <w:p>
      <w:pPr>
        <w:snapToGrid w:val="0"/>
        <w:spacing w:line="360" w:lineRule="exact"/>
        <w:ind w:firstLine="440" w:firstLineChars="200"/>
        <w:rPr>
          <w:rFonts w:ascii="宋体" w:hAnsi="宋体" w:cs="宋体"/>
          <w:sz w:val="22"/>
        </w:rPr>
      </w:pPr>
      <w:r>
        <w:rPr>
          <w:rFonts w:hint="eastAsia" w:ascii="宋体" w:hAnsi="宋体" w:cs="宋体"/>
          <w:sz w:val="22"/>
        </w:rPr>
        <w:t>4.12.2 已完工程成品保护的特殊要求：已完工程成品在未竣工验收移交给发包人前，均应由承包人妥善保管， 承包人对其防盗、防损、防潮等负责。竣工验收合格后，须完整移交给发包人，并办理相关移交手续。</w:t>
      </w:r>
    </w:p>
    <w:p>
      <w:pPr>
        <w:snapToGrid w:val="0"/>
        <w:spacing w:line="360" w:lineRule="exact"/>
        <w:ind w:firstLine="440" w:firstLineChars="200"/>
        <w:rPr>
          <w:rFonts w:ascii="宋体" w:hAnsi="宋体" w:cs="宋体"/>
          <w:sz w:val="22"/>
        </w:rPr>
      </w:pPr>
      <w:r>
        <w:rPr>
          <w:rFonts w:hint="eastAsia" w:ascii="宋体" w:hAnsi="宋体" w:cs="宋体"/>
          <w:sz w:val="22"/>
        </w:rPr>
        <w:t>施工场地地下管线和邻近建筑物、构筑物(包括文物保护建筑)、古树名木等的保护要求和费用承担：承包人应在整个施工期间采取强有力的保护措施，按图施工确保各种（包括现场周边）地下永久管线和临近建筑物、构筑物、古树名木、机场围界等的安全，承包人负责并承担因承包人防护不力而发生的事故，及由之产生的一切责任和经济损失。</w:t>
      </w:r>
    </w:p>
    <w:p>
      <w:pPr>
        <w:snapToGrid w:val="0"/>
        <w:spacing w:line="360" w:lineRule="exact"/>
        <w:ind w:firstLine="440" w:firstLineChars="200"/>
        <w:rPr>
          <w:rFonts w:ascii="宋体" w:hAnsi="宋体" w:cs="宋体"/>
          <w:sz w:val="22"/>
        </w:rPr>
      </w:pPr>
      <w:r>
        <w:rPr>
          <w:rFonts w:hint="eastAsia" w:ascii="宋体" w:hAnsi="宋体" w:cs="宋体"/>
          <w:sz w:val="22"/>
        </w:rPr>
        <w:t xml:space="preserve">交工前清洁施工现场的要求：承包人应达到浙江省和杭州市有关部门规定要求及满足发包人要求。包括但不限于：施工场地及临时占用场地的余土、垃圾、办公及生活临时设施拆除、硬化场地的破除；做到工完场清，并承担所需的费用。在颁发任何接收证书时，承包人应从该接收证书涉及的那部分现场，清除并运出全部承包人设备、多余材料、垃圾和各种临时设施，并保持该部分现场和工程清洁整齐，达到使发包人满意的使用状态，对于承包人未能及时清理运走的设备、多余材料、垃圾和各种临时设施，发包人可予以出售、拆除或另行处理；发包人有权从此类收益（若有）中扣留足够的款额，以支付出售或处理及整理现场所发生的费用支出；此类收益的所有余额（若有）归还承包人，若出售所得不足以补偿发包人的支出，则发包人可以从承包人处扣回不足部分的款额。   </w:t>
      </w:r>
    </w:p>
    <w:p>
      <w:pPr>
        <w:snapToGrid w:val="0"/>
        <w:spacing w:line="360" w:lineRule="exact"/>
        <w:ind w:firstLine="440" w:firstLineChars="200"/>
        <w:rPr>
          <w:rFonts w:ascii="宋体" w:hAnsi="宋体" w:cs="宋体"/>
          <w:sz w:val="22"/>
        </w:rPr>
      </w:pPr>
      <w:r>
        <w:rPr>
          <w:rFonts w:hint="eastAsia" w:ascii="宋体" w:hAnsi="宋体" w:cs="宋体"/>
          <w:sz w:val="22"/>
        </w:rPr>
        <w:t>4.12.3约定承包人应做的其他工作及费用承担：</w:t>
      </w:r>
    </w:p>
    <w:p>
      <w:pPr>
        <w:snapToGrid w:val="0"/>
        <w:spacing w:line="360" w:lineRule="exact"/>
        <w:ind w:firstLine="440" w:firstLineChars="200"/>
        <w:rPr>
          <w:rFonts w:ascii="宋体" w:hAnsi="宋体" w:cs="宋体"/>
          <w:sz w:val="22"/>
        </w:rPr>
      </w:pPr>
      <w:r>
        <w:rPr>
          <w:rFonts w:hint="eastAsia" w:ascii="宋体" w:hAnsi="宋体" w:cs="宋体"/>
          <w:sz w:val="22"/>
        </w:rPr>
        <w:t>（1）承包人须自发、积极地负责对图纸及技术要求作出全面检查（图纸尺寸应以图纸上标明的为准，不能用比例尺量度），任何矛盾、不一致的地方须立即书面通知发包人。若本工程的任何项目因承包人对此等矛盾、不一致的地方没有向发包人及时要求澄清而错误地建造，则在发包人要求时，承包人须自费予以拆除及重建，而工期亦不会因此延长。</w:t>
      </w:r>
    </w:p>
    <w:p>
      <w:pPr>
        <w:snapToGrid w:val="0"/>
        <w:spacing w:line="360" w:lineRule="exact"/>
        <w:ind w:firstLine="440" w:firstLineChars="200"/>
        <w:rPr>
          <w:rFonts w:ascii="宋体" w:hAnsi="宋体" w:cs="宋体"/>
          <w:sz w:val="22"/>
        </w:rPr>
      </w:pPr>
      <w:r>
        <w:rPr>
          <w:rFonts w:hint="eastAsia" w:ascii="宋体" w:hAnsi="宋体" w:cs="宋体"/>
          <w:sz w:val="22"/>
        </w:rPr>
        <w:t>（2）发包人对合同图纸或标准、规范和技术要求内的矛盾、不一致的地方发出指示作出澄清不被视为工程变更指示，而承包人也不会因此获得工期延长及费用补偿。</w:t>
      </w:r>
    </w:p>
    <w:p>
      <w:pPr>
        <w:snapToGrid w:val="0"/>
        <w:spacing w:line="360" w:lineRule="exact"/>
        <w:rPr>
          <w:rFonts w:ascii="宋体" w:hAnsi="宋体" w:cs="宋体"/>
          <w:sz w:val="22"/>
        </w:rPr>
      </w:pPr>
      <w:r>
        <w:rPr>
          <w:rFonts w:hint="eastAsia" w:ascii="宋体" w:hAnsi="宋体" w:cs="宋体"/>
          <w:sz w:val="22"/>
        </w:rPr>
        <w:t>5．材料和工程设备</w:t>
      </w:r>
    </w:p>
    <w:p>
      <w:pPr>
        <w:snapToGrid w:val="0"/>
        <w:spacing w:line="360" w:lineRule="exact"/>
        <w:rPr>
          <w:rFonts w:ascii="宋体" w:hAnsi="宋体" w:cs="宋体"/>
          <w:sz w:val="22"/>
        </w:rPr>
      </w:pPr>
      <w:r>
        <w:rPr>
          <w:rFonts w:hint="eastAsia" w:ascii="宋体" w:hAnsi="宋体" w:cs="宋体"/>
          <w:sz w:val="22"/>
        </w:rPr>
        <w:t>5.1 承包人提供的材料和工程设备</w:t>
      </w:r>
    </w:p>
    <w:p>
      <w:pPr>
        <w:snapToGrid w:val="0"/>
        <w:spacing w:line="360" w:lineRule="exact"/>
        <w:ind w:firstLine="440" w:firstLineChars="200"/>
        <w:rPr>
          <w:rFonts w:ascii="宋体" w:hAnsi="宋体" w:cs="宋体"/>
          <w:sz w:val="22"/>
        </w:rPr>
      </w:pPr>
      <w:r>
        <w:rPr>
          <w:rFonts w:hint="eastAsia" w:ascii="宋体" w:hAnsi="宋体" w:cs="宋体"/>
          <w:sz w:val="22"/>
        </w:rPr>
        <w:t>增加以下条款：</w:t>
      </w:r>
    </w:p>
    <w:p>
      <w:pPr>
        <w:snapToGrid w:val="0"/>
        <w:spacing w:line="360" w:lineRule="exact"/>
        <w:ind w:firstLine="440" w:firstLineChars="200"/>
        <w:rPr>
          <w:rFonts w:ascii="宋体" w:hAnsi="宋体" w:cs="宋体"/>
          <w:sz w:val="22"/>
        </w:rPr>
      </w:pPr>
      <w:r>
        <w:rPr>
          <w:rFonts w:hint="eastAsia" w:ascii="宋体" w:hAnsi="宋体" w:cs="宋体"/>
          <w:sz w:val="22"/>
        </w:rPr>
        <w:t>5.1.4本工程除甲供设备、材料外的材料均须经发包人确认后由承包人采购提供。采购、使用前应经发包人代表核验所有材料与设计及投标承诺的质量、规格是否相符，签字确认。如事后发现不合格材料或不符合设计、投标文件承诺的材料，发包人代表将拒绝使用，承包人应无条件负责更换或返工，并承担由此发生的费用和工期损失。</w:t>
      </w:r>
    </w:p>
    <w:p>
      <w:pPr>
        <w:snapToGrid w:val="0"/>
        <w:spacing w:line="360" w:lineRule="exact"/>
        <w:rPr>
          <w:rFonts w:ascii="宋体" w:hAnsi="宋体" w:cs="宋体"/>
          <w:sz w:val="22"/>
        </w:rPr>
      </w:pPr>
      <w:r>
        <w:rPr>
          <w:rFonts w:hint="eastAsia" w:ascii="宋体" w:hAnsi="宋体" w:cs="宋体"/>
          <w:sz w:val="22"/>
        </w:rPr>
        <w:t>5.2 发包人提供的材料和工程设备</w:t>
      </w:r>
    </w:p>
    <w:p>
      <w:pPr>
        <w:snapToGrid w:val="0"/>
        <w:spacing w:line="360" w:lineRule="exact"/>
        <w:ind w:firstLine="440" w:firstLineChars="200"/>
        <w:rPr>
          <w:rFonts w:ascii="宋体" w:hAnsi="宋体" w:cs="宋体"/>
          <w:sz w:val="22"/>
        </w:rPr>
      </w:pPr>
      <w:r>
        <w:rPr>
          <w:rFonts w:hint="eastAsia" w:ascii="宋体" w:hAnsi="宋体" w:cs="宋体"/>
          <w:sz w:val="22"/>
        </w:rPr>
        <w:t>5.2.7因工程需要，如发生发包人供应材料设备的情况，其计算方法为：发包人单独与材料设备供应商结算。承包人除计取采保费外，不得向发包人和材料设备供应商收取其它费用。甲供设备、材料不计入总造价，由发包人负责供至承包人现场，承包人必须配合做好验收，并负责卸车、保管、搬运，产品保护等工作，发包人按甲供材料和设备采购合同的0.5%给予承包人采保费，其它费用不再另行计取；如发生丢失、损坏等情况，承包人负责修复或赔偿并承担相应费用。采保费在工程竣工结算时一并支付。</w:t>
      </w:r>
    </w:p>
    <w:p>
      <w:pPr>
        <w:snapToGrid w:val="0"/>
        <w:spacing w:line="360" w:lineRule="exact"/>
        <w:ind w:firstLine="440" w:firstLineChars="200"/>
        <w:rPr>
          <w:rFonts w:ascii="宋体" w:hAnsi="宋体" w:cs="宋体"/>
          <w:sz w:val="22"/>
        </w:rPr>
      </w:pPr>
      <w:r>
        <w:rPr>
          <w:rFonts w:hint="eastAsia" w:ascii="宋体" w:hAnsi="宋体" w:cs="宋体"/>
          <w:sz w:val="22"/>
        </w:rPr>
        <w:t>5.2.8发包人供应材料设备发生的损耗按浙江省2010定额相关规定结算。</w:t>
      </w:r>
    </w:p>
    <w:p>
      <w:pPr>
        <w:snapToGrid w:val="0"/>
        <w:spacing w:line="360" w:lineRule="exact"/>
        <w:rPr>
          <w:rFonts w:ascii="宋体" w:hAnsi="宋体" w:cs="宋体"/>
          <w:sz w:val="22"/>
        </w:rPr>
      </w:pPr>
      <w:r>
        <w:rPr>
          <w:rFonts w:hint="eastAsia" w:ascii="宋体" w:hAnsi="宋体" w:cs="宋体"/>
          <w:sz w:val="22"/>
        </w:rPr>
        <w:t>7．交通运输</w:t>
      </w:r>
    </w:p>
    <w:p>
      <w:pPr>
        <w:snapToGrid w:val="0"/>
        <w:spacing w:line="360" w:lineRule="exact"/>
        <w:rPr>
          <w:rFonts w:ascii="宋体" w:hAnsi="宋体" w:cs="宋体"/>
          <w:sz w:val="22"/>
        </w:rPr>
      </w:pPr>
      <w:r>
        <w:rPr>
          <w:rFonts w:hint="eastAsia" w:ascii="宋体" w:hAnsi="宋体" w:cs="宋体"/>
          <w:sz w:val="22"/>
        </w:rPr>
        <w:t>7.1 道路通行权和场外设施</w:t>
      </w:r>
    </w:p>
    <w:p>
      <w:pPr>
        <w:snapToGrid w:val="0"/>
        <w:spacing w:line="360" w:lineRule="exact"/>
        <w:ind w:firstLine="440" w:firstLineChars="200"/>
        <w:rPr>
          <w:rFonts w:ascii="宋体" w:hAnsi="宋体" w:cs="宋体"/>
          <w:sz w:val="22"/>
        </w:rPr>
      </w:pPr>
      <w:r>
        <w:rPr>
          <w:rFonts w:hint="eastAsia" w:ascii="宋体" w:hAnsi="宋体" w:cs="宋体"/>
          <w:sz w:val="22"/>
        </w:rPr>
        <w:t>施工场地与公共道路的通道开通时间和要求：本工程施工场地周围道路现状由承包人自行调查掌握；施工时通道及施工时间的具体利用，应受杭州萧山国际机场管理规定、招标文件或其他须遵守约定、规定所述的限制，就此，承包人应自行承担费用及采取一切必要合理的措施以避免对杭州萧山国际机场、发包人或其他第三方的正常运行或财产、人身安全造成影响、干涉、妨碍或侵害。</w:t>
      </w:r>
    </w:p>
    <w:p>
      <w:pPr>
        <w:snapToGrid w:val="0"/>
        <w:spacing w:line="360" w:lineRule="exact"/>
        <w:ind w:firstLine="440" w:firstLineChars="200"/>
        <w:rPr>
          <w:rFonts w:ascii="宋体" w:hAnsi="宋体" w:cs="宋体"/>
          <w:sz w:val="22"/>
        </w:rPr>
      </w:pPr>
      <w:r>
        <w:rPr>
          <w:rFonts w:hint="eastAsia" w:ascii="宋体" w:hAnsi="宋体" w:cs="宋体"/>
          <w:sz w:val="22"/>
        </w:rPr>
        <w:t>对于承包人因施工导致机场现有道路、管线或设备设施等财产损坏，未影响机场正常运行的，则承包人应按发包人的要求向发包人赔偿1～10万元违约金（在当月工程进度款或合同款中扣除），具体违约金金额由发包人视损坏程度及影响情况确定；对于承包人因施工导致机场现有道路、管线或设备设施等财产损坏，并影响机场正常运行甚至导致机场临时关闭的，则承包人应按发包人的要求向发包人赔偿10～100万元违约金（在当月工程进度款或合同款中扣除），具体违约金金额由发包人视损坏程度及影响情况确定，且发包人有权单方面解除合同。除支付上述违约金外，对于修复上述受损道路、管线或设备设施等财产的费用，由承包人承担，若造成发包人其他损失的，承包人应赔偿发包人的全部损失，涉及犯罪的将追究其刑事责任。</w:t>
      </w:r>
    </w:p>
    <w:p>
      <w:pPr>
        <w:snapToGrid w:val="0"/>
        <w:spacing w:line="360" w:lineRule="exact"/>
        <w:rPr>
          <w:rFonts w:ascii="宋体" w:hAnsi="宋体" w:cs="宋体"/>
          <w:sz w:val="22"/>
        </w:rPr>
      </w:pPr>
      <w:r>
        <w:rPr>
          <w:rFonts w:hint="eastAsia" w:ascii="宋体" w:hAnsi="宋体" w:cs="宋体"/>
          <w:sz w:val="22"/>
        </w:rPr>
        <w:t>9．施工安全、治安保卫和环境保护</w:t>
      </w:r>
    </w:p>
    <w:p>
      <w:pPr>
        <w:snapToGrid w:val="0"/>
        <w:spacing w:line="360" w:lineRule="exact"/>
        <w:rPr>
          <w:rFonts w:ascii="宋体" w:hAnsi="宋体" w:cs="宋体"/>
          <w:sz w:val="22"/>
        </w:rPr>
      </w:pPr>
      <w:r>
        <w:rPr>
          <w:rFonts w:hint="eastAsia" w:ascii="宋体" w:hAnsi="宋体" w:cs="宋体"/>
          <w:sz w:val="22"/>
        </w:rPr>
        <w:t>9.2 承包人的施工安全责任</w:t>
      </w:r>
    </w:p>
    <w:p>
      <w:pPr>
        <w:snapToGrid w:val="0"/>
        <w:spacing w:line="360" w:lineRule="exact"/>
        <w:ind w:firstLine="440" w:firstLineChars="200"/>
        <w:rPr>
          <w:rFonts w:ascii="宋体" w:hAnsi="宋体" w:cs="宋体"/>
          <w:sz w:val="22"/>
        </w:rPr>
      </w:pPr>
      <w:r>
        <w:rPr>
          <w:rFonts w:hint="eastAsia" w:ascii="宋体" w:hAnsi="宋体" w:cs="宋体"/>
          <w:sz w:val="22"/>
        </w:rPr>
        <w:t>9.2.1 承包人将施工安全措施计划报发包人审批。时间：于本合同生效后15天内。</w:t>
      </w:r>
    </w:p>
    <w:p>
      <w:pPr>
        <w:snapToGrid w:val="0"/>
        <w:spacing w:line="360" w:lineRule="exact"/>
        <w:ind w:firstLine="440" w:firstLineChars="200"/>
        <w:rPr>
          <w:rFonts w:ascii="宋体" w:hAnsi="宋体" w:cs="宋体"/>
          <w:sz w:val="22"/>
        </w:rPr>
      </w:pPr>
      <w:r>
        <w:rPr>
          <w:rFonts w:hint="eastAsia" w:ascii="宋体" w:hAnsi="宋体" w:cs="宋体"/>
          <w:sz w:val="22"/>
        </w:rPr>
        <w:t>增加以下条款：</w:t>
      </w:r>
    </w:p>
    <w:p>
      <w:pPr>
        <w:snapToGrid w:val="0"/>
        <w:spacing w:line="360" w:lineRule="exact"/>
        <w:ind w:firstLine="440" w:firstLineChars="200"/>
        <w:rPr>
          <w:rFonts w:ascii="宋体" w:hAnsi="宋体" w:cs="宋体"/>
          <w:sz w:val="22"/>
        </w:rPr>
      </w:pPr>
      <w:r>
        <w:rPr>
          <w:rFonts w:hint="eastAsia" w:ascii="宋体" w:hAnsi="宋体" w:cs="宋体"/>
          <w:sz w:val="22"/>
        </w:rPr>
        <w:t>9.2.8为确保用电平稳，功率较大的电机式负荷需要承包人设置相应的降压启动设施。</w:t>
      </w:r>
    </w:p>
    <w:p>
      <w:pPr>
        <w:snapToGrid w:val="0"/>
        <w:spacing w:line="360" w:lineRule="exact"/>
        <w:rPr>
          <w:rFonts w:ascii="宋体" w:hAnsi="宋体" w:cs="宋体"/>
          <w:sz w:val="22"/>
        </w:rPr>
      </w:pPr>
      <w:r>
        <w:rPr>
          <w:rFonts w:hint="eastAsia" w:ascii="宋体" w:hAnsi="宋体" w:cs="宋体"/>
          <w:sz w:val="22"/>
        </w:rPr>
        <w:t>10．进度计划</w:t>
      </w:r>
    </w:p>
    <w:p>
      <w:pPr>
        <w:snapToGrid w:val="0"/>
        <w:spacing w:line="360" w:lineRule="exact"/>
        <w:rPr>
          <w:rFonts w:ascii="宋体" w:hAnsi="宋体" w:cs="宋体"/>
          <w:sz w:val="22"/>
        </w:rPr>
      </w:pPr>
      <w:r>
        <w:rPr>
          <w:rFonts w:hint="eastAsia" w:ascii="宋体" w:hAnsi="宋体" w:cs="宋体"/>
          <w:sz w:val="22"/>
        </w:rPr>
        <w:t>10.1 合同进度计划</w:t>
      </w:r>
    </w:p>
    <w:p>
      <w:pPr>
        <w:snapToGrid w:val="0"/>
        <w:spacing w:line="360" w:lineRule="exact"/>
        <w:ind w:firstLine="440" w:firstLineChars="200"/>
        <w:rPr>
          <w:rFonts w:ascii="宋体" w:hAnsi="宋体" w:cs="宋体"/>
          <w:sz w:val="22"/>
        </w:rPr>
      </w:pPr>
      <w:r>
        <w:rPr>
          <w:rFonts w:hint="eastAsia" w:ascii="宋体" w:hAnsi="宋体" w:cs="宋体"/>
          <w:sz w:val="22"/>
        </w:rPr>
        <w:t>承包人提供详细的施工进度计划和施工方案说明的时间：合同签订后3天内提供。</w:t>
      </w:r>
    </w:p>
    <w:p>
      <w:pPr>
        <w:snapToGrid w:val="0"/>
        <w:spacing w:line="360" w:lineRule="exact"/>
        <w:ind w:firstLine="440" w:firstLineChars="200"/>
        <w:rPr>
          <w:rFonts w:ascii="宋体" w:hAnsi="宋体" w:cs="宋体"/>
          <w:sz w:val="22"/>
        </w:rPr>
      </w:pPr>
      <w:r>
        <w:rPr>
          <w:rFonts w:hint="eastAsia" w:ascii="宋体" w:hAnsi="宋体" w:cs="宋体"/>
          <w:sz w:val="22"/>
        </w:rPr>
        <w:t>发包人确认的时间：于承包人提交后3天内。</w:t>
      </w:r>
    </w:p>
    <w:p>
      <w:pPr>
        <w:snapToGrid w:val="0"/>
        <w:spacing w:line="360" w:lineRule="exact"/>
        <w:ind w:firstLine="442" w:firstLineChars="200"/>
        <w:rPr>
          <w:rFonts w:ascii="宋体" w:hAnsi="宋体" w:cs="宋体"/>
          <w:b/>
          <w:sz w:val="22"/>
        </w:rPr>
      </w:pPr>
      <w:r>
        <w:rPr>
          <w:rFonts w:hint="eastAsia" w:ascii="宋体" w:hAnsi="宋体" w:cs="宋体"/>
          <w:b/>
          <w:sz w:val="22"/>
        </w:rPr>
        <w:t>因承包人原因导致施工节点进度比合同节点进度计划延误达15日及以上时，发包人有权终止合同，收取合同价10%的违约金，并保留对承包人追溯赔偿其他一切损失的权利。</w:t>
      </w:r>
    </w:p>
    <w:p>
      <w:pPr>
        <w:snapToGrid w:val="0"/>
        <w:spacing w:line="360" w:lineRule="exact"/>
        <w:rPr>
          <w:rFonts w:ascii="宋体" w:hAnsi="宋体" w:cs="宋体"/>
          <w:sz w:val="22"/>
        </w:rPr>
      </w:pPr>
      <w:r>
        <w:rPr>
          <w:rFonts w:hint="eastAsia" w:ascii="宋体" w:hAnsi="宋体" w:cs="宋体"/>
          <w:sz w:val="22"/>
        </w:rPr>
        <w:t>10.2 合同进度计划的修订</w:t>
      </w:r>
    </w:p>
    <w:p>
      <w:pPr>
        <w:snapToGrid w:val="0"/>
        <w:spacing w:line="360" w:lineRule="exact"/>
        <w:ind w:firstLine="440" w:firstLineChars="200"/>
        <w:rPr>
          <w:rFonts w:ascii="宋体" w:hAnsi="宋体" w:cs="宋体"/>
          <w:sz w:val="22"/>
        </w:rPr>
      </w:pPr>
      <w:r>
        <w:rPr>
          <w:rFonts w:hint="eastAsia" w:ascii="宋体" w:hAnsi="宋体" w:cs="宋体"/>
          <w:sz w:val="22"/>
        </w:rPr>
        <w:t>承包人提交修订合同进度计划的申请报告的时间：于发现工程的实际进度与第10.1款的合同进度计划不符后3天内提供。</w:t>
      </w:r>
    </w:p>
    <w:p>
      <w:pPr>
        <w:snapToGrid w:val="0"/>
        <w:spacing w:line="360" w:lineRule="exact"/>
        <w:ind w:firstLine="440" w:firstLineChars="200"/>
        <w:rPr>
          <w:rFonts w:ascii="宋体" w:hAnsi="宋体" w:cs="宋体"/>
          <w:sz w:val="22"/>
        </w:rPr>
      </w:pPr>
      <w:r>
        <w:rPr>
          <w:rFonts w:hint="eastAsia" w:ascii="宋体" w:hAnsi="宋体" w:cs="宋体"/>
          <w:sz w:val="22"/>
        </w:rPr>
        <w:t>发包人批复的时间：于承包人提交后7天内。</w:t>
      </w:r>
    </w:p>
    <w:p>
      <w:pPr>
        <w:snapToGrid w:val="0"/>
        <w:spacing w:line="360" w:lineRule="exact"/>
        <w:ind w:firstLine="440" w:firstLineChars="200"/>
        <w:rPr>
          <w:rFonts w:ascii="宋体" w:hAnsi="宋体" w:cs="宋体"/>
          <w:sz w:val="22"/>
        </w:rPr>
      </w:pPr>
      <w:r>
        <w:rPr>
          <w:rFonts w:hint="eastAsia" w:ascii="宋体" w:hAnsi="宋体" w:cs="宋体"/>
          <w:sz w:val="22"/>
        </w:rPr>
        <w:t>因承包人的原因导致实际进度与合同计划进度不符，承包人无权就改进措施提出追加合同价款或工期索赔。</w:t>
      </w:r>
    </w:p>
    <w:p>
      <w:pPr>
        <w:snapToGrid w:val="0"/>
        <w:spacing w:line="360" w:lineRule="exact"/>
        <w:rPr>
          <w:rFonts w:ascii="宋体" w:hAnsi="宋体" w:cs="宋体"/>
          <w:sz w:val="22"/>
        </w:rPr>
      </w:pPr>
      <w:r>
        <w:rPr>
          <w:rFonts w:hint="eastAsia" w:ascii="宋体" w:hAnsi="宋体" w:cs="宋体"/>
          <w:sz w:val="22"/>
        </w:rPr>
        <w:t>11．开工和竣工</w:t>
      </w:r>
    </w:p>
    <w:p>
      <w:pPr>
        <w:snapToGrid w:val="0"/>
        <w:spacing w:line="360" w:lineRule="exact"/>
        <w:rPr>
          <w:rFonts w:ascii="宋体" w:hAnsi="宋体" w:cs="宋体"/>
          <w:sz w:val="22"/>
        </w:rPr>
      </w:pPr>
      <w:r>
        <w:rPr>
          <w:rFonts w:hint="eastAsia" w:ascii="宋体" w:hAnsi="宋体" w:cs="宋体"/>
          <w:sz w:val="22"/>
        </w:rPr>
        <w:t>11.5 承包人的工期延误</w:t>
      </w:r>
    </w:p>
    <w:p>
      <w:pPr>
        <w:snapToGrid w:val="0"/>
        <w:spacing w:line="360" w:lineRule="exact"/>
        <w:ind w:firstLine="440" w:firstLineChars="200"/>
        <w:rPr>
          <w:rFonts w:ascii="宋体" w:hAnsi="宋体" w:cs="宋体"/>
          <w:sz w:val="22"/>
        </w:rPr>
      </w:pPr>
      <w:r>
        <w:rPr>
          <w:rFonts w:hint="eastAsia" w:ascii="宋体" w:hAnsi="宋体" w:cs="宋体"/>
          <w:sz w:val="22"/>
        </w:rPr>
        <w:t>逾期竣工违约金依发包人主张，可包括以下各项的单独或合并运用：</w:t>
      </w:r>
    </w:p>
    <w:p>
      <w:pPr>
        <w:snapToGrid w:val="0"/>
        <w:spacing w:line="360" w:lineRule="exact"/>
        <w:ind w:firstLine="440" w:firstLineChars="200"/>
        <w:rPr>
          <w:rFonts w:ascii="宋体" w:hAnsi="宋体" w:cs="宋体"/>
          <w:b/>
          <w:sz w:val="22"/>
        </w:rPr>
      </w:pPr>
      <w:r>
        <w:rPr>
          <w:rFonts w:hint="eastAsia" w:ascii="宋体" w:hAnsi="宋体" w:cs="宋体"/>
          <w:sz w:val="22"/>
        </w:rPr>
        <w:t>（1）按合同总工期每延误一天承包人应支付违约金人民币10000元；</w:t>
      </w:r>
    </w:p>
    <w:p>
      <w:pPr>
        <w:snapToGrid w:val="0"/>
        <w:spacing w:line="360" w:lineRule="exact"/>
        <w:ind w:firstLine="440" w:firstLineChars="200"/>
        <w:rPr>
          <w:rFonts w:ascii="宋体" w:hAnsi="宋体" w:cs="宋体"/>
          <w:sz w:val="22"/>
        </w:rPr>
      </w:pPr>
      <w:r>
        <w:rPr>
          <w:rFonts w:hint="eastAsia" w:ascii="宋体" w:hAnsi="宋体" w:cs="宋体"/>
          <w:sz w:val="22"/>
        </w:rPr>
        <w:t>（2）根据本合同的其他约定支付违约金，并视给发包人造成的实际损失给予赔偿；</w:t>
      </w:r>
    </w:p>
    <w:p>
      <w:pPr>
        <w:snapToGrid w:val="0"/>
        <w:spacing w:line="360" w:lineRule="exact"/>
        <w:rPr>
          <w:rFonts w:ascii="宋体" w:hAnsi="宋体" w:cs="宋体"/>
          <w:sz w:val="22"/>
        </w:rPr>
      </w:pPr>
      <w:r>
        <w:rPr>
          <w:rFonts w:hint="eastAsia" w:ascii="宋体" w:hAnsi="宋体" w:cs="宋体"/>
          <w:sz w:val="22"/>
        </w:rPr>
        <w:t>12．暂停施工</w:t>
      </w:r>
    </w:p>
    <w:p>
      <w:pPr>
        <w:snapToGrid w:val="0"/>
        <w:spacing w:line="360" w:lineRule="exact"/>
        <w:rPr>
          <w:rFonts w:ascii="宋体" w:hAnsi="宋体" w:cs="宋体"/>
          <w:sz w:val="22"/>
        </w:rPr>
      </w:pPr>
      <w:r>
        <w:rPr>
          <w:rFonts w:hint="eastAsia" w:ascii="宋体" w:hAnsi="宋体" w:cs="宋体"/>
          <w:sz w:val="22"/>
        </w:rPr>
        <w:t>12.1 承包人暂停施工的责任</w:t>
      </w:r>
    </w:p>
    <w:p>
      <w:pPr>
        <w:snapToGrid w:val="0"/>
        <w:spacing w:line="360" w:lineRule="exact"/>
        <w:ind w:firstLine="440" w:firstLineChars="200"/>
        <w:rPr>
          <w:rFonts w:ascii="宋体" w:hAnsi="宋体" w:cs="宋体"/>
          <w:sz w:val="22"/>
        </w:rPr>
      </w:pPr>
      <w:r>
        <w:rPr>
          <w:rFonts w:hint="eastAsia" w:ascii="宋体" w:hAnsi="宋体" w:cs="宋体"/>
          <w:sz w:val="22"/>
        </w:rPr>
        <w:t>（6）因联系单变更或现场签证单未确认引起的暂停施工。</w:t>
      </w:r>
    </w:p>
    <w:p>
      <w:pPr>
        <w:snapToGrid w:val="0"/>
        <w:spacing w:line="360" w:lineRule="exact"/>
        <w:rPr>
          <w:rFonts w:ascii="宋体" w:hAnsi="宋体" w:cs="宋体"/>
          <w:sz w:val="22"/>
        </w:rPr>
      </w:pPr>
      <w:r>
        <w:rPr>
          <w:rFonts w:hint="eastAsia" w:ascii="宋体" w:hAnsi="宋体" w:cs="宋体"/>
          <w:sz w:val="22"/>
        </w:rPr>
        <w:t>13．工程质量</w:t>
      </w:r>
    </w:p>
    <w:p>
      <w:pPr>
        <w:snapToGrid w:val="0"/>
        <w:spacing w:line="360" w:lineRule="exact"/>
        <w:rPr>
          <w:rFonts w:ascii="宋体" w:hAnsi="宋体" w:cs="宋体"/>
          <w:sz w:val="22"/>
        </w:rPr>
      </w:pPr>
      <w:r>
        <w:rPr>
          <w:rFonts w:hint="eastAsia" w:ascii="宋体" w:hAnsi="宋体" w:cs="宋体"/>
          <w:sz w:val="22"/>
        </w:rPr>
        <w:t>13.7 承包人施工质量不达标的责任</w:t>
      </w:r>
    </w:p>
    <w:p>
      <w:pPr>
        <w:snapToGrid w:val="0"/>
        <w:spacing w:line="360" w:lineRule="exact"/>
        <w:ind w:firstLine="440" w:firstLineChars="200"/>
        <w:rPr>
          <w:rFonts w:ascii="宋体" w:hAnsi="宋体" w:cs="宋体"/>
          <w:sz w:val="22"/>
        </w:rPr>
      </w:pPr>
      <w:r>
        <w:rPr>
          <w:rFonts w:hint="eastAsia" w:ascii="宋体" w:hAnsi="宋体" w:cs="宋体"/>
          <w:sz w:val="22"/>
        </w:rPr>
        <w:t xml:space="preserve"> 承包人必须按《中华人民共和国建筑法》、《建设工程质量管理条例》、《房屋建筑工程质量保修办法》及合同约定的质量标准完成本工程施工。如第一次验收不合格，承包人就不符合质量标准的部分进行重建直至符合标准，费用由承包人承担。同时，承包人应向发包人支付数额不低于合同价5%的损失赔偿，该约定的损失赔偿金额不能弥补实际损失的，承包人应补充赔偿不足部分。第二次验收不合格的，发包人有权另行委托他人重建或修复，重建或修复费用由承包人承担，同时，承包人应再次向发包人支付数额不低于合同价10%的损失赔偿，该约定的损失赔偿金额不能弥补实际损失的，承包人应补充赔偿不足部分。凡存在验收不合格情形的，发包人有收取合同价10%的违约金。</w:t>
      </w:r>
    </w:p>
    <w:p>
      <w:pPr>
        <w:snapToGrid w:val="0"/>
        <w:spacing w:line="360" w:lineRule="exact"/>
        <w:rPr>
          <w:rFonts w:ascii="宋体" w:hAnsi="宋体" w:cs="宋体"/>
          <w:sz w:val="22"/>
        </w:rPr>
      </w:pPr>
      <w:r>
        <w:rPr>
          <w:rFonts w:hint="eastAsia" w:ascii="宋体" w:hAnsi="宋体" w:cs="宋体"/>
          <w:sz w:val="22"/>
        </w:rPr>
        <w:t>14．试验和检验</w:t>
      </w:r>
    </w:p>
    <w:p>
      <w:pPr>
        <w:snapToGrid w:val="0"/>
        <w:spacing w:line="360" w:lineRule="exact"/>
        <w:rPr>
          <w:rFonts w:ascii="宋体" w:hAnsi="宋体" w:cs="宋体"/>
          <w:sz w:val="22"/>
        </w:rPr>
      </w:pPr>
      <w:r>
        <w:rPr>
          <w:rFonts w:hint="eastAsia" w:ascii="宋体" w:hAnsi="宋体" w:cs="宋体"/>
          <w:sz w:val="22"/>
        </w:rPr>
        <w:t>14.4 检验费用的约定</w:t>
      </w:r>
    </w:p>
    <w:p>
      <w:pPr>
        <w:snapToGrid w:val="0"/>
        <w:spacing w:line="360" w:lineRule="exact"/>
        <w:ind w:firstLine="440" w:firstLineChars="200"/>
        <w:rPr>
          <w:rFonts w:ascii="宋体" w:hAnsi="宋体" w:cs="宋体"/>
          <w:sz w:val="22"/>
        </w:rPr>
      </w:pPr>
      <w:r>
        <w:rPr>
          <w:rFonts w:hint="eastAsia" w:ascii="宋体" w:hAnsi="宋体" w:cs="宋体"/>
          <w:sz w:val="22"/>
        </w:rPr>
        <w:t>14.4.1.承包人承担检验费用的材料、设备： 按现行的法律、法规、规章和有关标准、规范的规定，进场后必须履检的材料、设备，其检验费用均认为已包含在投标报价中由承包人承担；承包人应了解到部分测试可能不在市内，承包人须承担工程师等前往见证测试的交通及住宿等所有费用；该部分费用含在投标报价中，不另行支付。若发包人对承包人提供的材料、设备的质量提出异议，要求重新检验，送国家有关权威检测部门检验，若检验不合格，则检验费用由承包人承担。</w:t>
      </w:r>
    </w:p>
    <w:p>
      <w:pPr>
        <w:snapToGrid w:val="0"/>
        <w:spacing w:line="360" w:lineRule="exact"/>
        <w:ind w:firstLine="440" w:firstLineChars="200"/>
        <w:rPr>
          <w:rFonts w:ascii="宋体" w:hAnsi="宋体" w:cs="宋体"/>
          <w:sz w:val="22"/>
        </w:rPr>
      </w:pPr>
      <w:r>
        <w:rPr>
          <w:rFonts w:hint="eastAsia" w:ascii="宋体" w:hAnsi="宋体" w:cs="宋体"/>
          <w:sz w:val="22"/>
        </w:rPr>
        <w:t>14.4.2发包人承担检验费用的材料、设备： 若发包人对承包人提供的材料、设备的质量提出异议，要求重新检验，送国家有关权威检测部门检验，若检验合格，则检验费用由发包人承担。若检验不合格，则检验费用由承包人承担。</w:t>
      </w:r>
    </w:p>
    <w:p>
      <w:pPr>
        <w:snapToGrid w:val="0"/>
        <w:spacing w:line="360" w:lineRule="exact"/>
        <w:rPr>
          <w:rFonts w:ascii="宋体" w:hAnsi="宋体" w:cs="宋体"/>
          <w:sz w:val="22"/>
        </w:rPr>
      </w:pPr>
      <w:r>
        <w:rPr>
          <w:rFonts w:hint="eastAsia" w:ascii="宋体" w:hAnsi="宋体" w:cs="宋体"/>
          <w:sz w:val="22"/>
        </w:rPr>
        <w:t>15．变更（本项目不存在变更）</w:t>
      </w:r>
    </w:p>
    <w:p>
      <w:pPr>
        <w:snapToGrid w:val="0"/>
        <w:spacing w:line="360" w:lineRule="exact"/>
        <w:rPr>
          <w:rFonts w:ascii="宋体" w:hAnsi="宋体" w:cs="宋体"/>
          <w:sz w:val="22"/>
        </w:rPr>
      </w:pPr>
      <w:r>
        <w:rPr>
          <w:rFonts w:hint="eastAsia" w:ascii="宋体" w:hAnsi="宋体" w:cs="宋体"/>
          <w:sz w:val="22"/>
        </w:rPr>
        <w:t>16．价格调整</w:t>
      </w:r>
    </w:p>
    <w:p>
      <w:pPr>
        <w:snapToGrid w:val="0"/>
        <w:spacing w:line="360" w:lineRule="exact"/>
        <w:rPr>
          <w:rFonts w:ascii="宋体" w:hAnsi="宋体" w:cs="宋体"/>
          <w:sz w:val="22"/>
        </w:rPr>
      </w:pPr>
      <w:r>
        <w:rPr>
          <w:rFonts w:hint="eastAsia" w:ascii="宋体" w:hAnsi="宋体" w:cs="宋体"/>
          <w:sz w:val="22"/>
        </w:rPr>
        <w:t xml:space="preserve">16.1本合同价款采用固定总价合同方式确定，在项目实施过程中，发包人不对承包人提出的任何工程量及价格变更要求进行总价调整，投标报价即为结算价。 合同价款中包括的风险范围：a、发包范围内包含的所有内容；b、合同执行期内，投标材料、人工价格的市场变化；c、合同执行期内，施工临时停电、停水或因机场运营需要造成的连续8小时内的停工；d、合同执行期内，因客观原因造成承包人停工、窝工；e、合同执行期内可能发生的其他费用，包括市政、市容、环保、治安等。 风险费用的计算方法：承包人在投标报价时综合考虑，不再另行计取。 </w:t>
      </w:r>
    </w:p>
    <w:p>
      <w:pPr>
        <w:snapToGrid w:val="0"/>
        <w:spacing w:line="360" w:lineRule="exact"/>
        <w:rPr>
          <w:rFonts w:ascii="宋体" w:hAnsi="宋体" w:cs="宋体"/>
          <w:sz w:val="22"/>
        </w:rPr>
      </w:pPr>
      <w:r>
        <w:rPr>
          <w:rFonts w:hint="eastAsia" w:ascii="宋体" w:hAnsi="宋体" w:cs="宋体"/>
          <w:sz w:val="22"/>
        </w:rPr>
        <w:t>17．计量与支付</w:t>
      </w:r>
    </w:p>
    <w:p>
      <w:pPr>
        <w:snapToGrid w:val="0"/>
        <w:spacing w:line="360" w:lineRule="exact"/>
        <w:rPr>
          <w:rFonts w:ascii="宋体" w:hAnsi="宋体" w:cs="宋体"/>
          <w:sz w:val="22"/>
        </w:rPr>
      </w:pPr>
      <w:r>
        <w:rPr>
          <w:rFonts w:hint="eastAsia" w:ascii="宋体" w:hAnsi="宋体" w:cs="宋体"/>
          <w:sz w:val="22"/>
        </w:rPr>
        <w:t>17.2 预付款</w:t>
      </w:r>
    </w:p>
    <w:p>
      <w:pPr>
        <w:snapToGrid w:val="0"/>
        <w:spacing w:line="360" w:lineRule="exact"/>
        <w:ind w:firstLine="440" w:firstLineChars="200"/>
        <w:rPr>
          <w:rFonts w:ascii="宋体" w:hAnsi="宋体" w:cs="宋体"/>
          <w:sz w:val="22"/>
        </w:rPr>
      </w:pPr>
      <w:r>
        <w:rPr>
          <w:rFonts w:hint="eastAsia" w:ascii="宋体" w:hAnsi="宋体" w:cs="宋体"/>
          <w:sz w:val="22"/>
        </w:rPr>
        <w:t>17.2.1 预付款</w:t>
      </w:r>
    </w:p>
    <w:p>
      <w:pPr>
        <w:snapToGrid w:val="0"/>
        <w:spacing w:line="360" w:lineRule="exact"/>
        <w:ind w:firstLine="440" w:firstLineChars="200"/>
        <w:rPr>
          <w:rFonts w:ascii="宋体" w:hAnsi="宋体" w:cs="宋体"/>
          <w:sz w:val="22"/>
        </w:rPr>
      </w:pPr>
      <w:r>
        <w:rPr>
          <w:rFonts w:hint="eastAsia" w:ascii="宋体" w:hAnsi="宋体" w:cs="宋体"/>
          <w:sz w:val="22"/>
        </w:rPr>
        <w:t>发包人向承包人预付工程款的额度和预付办法：无。</w:t>
      </w:r>
    </w:p>
    <w:p>
      <w:pPr>
        <w:snapToGrid w:val="0"/>
        <w:spacing w:line="360" w:lineRule="exact"/>
        <w:ind w:firstLine="440" w:firstLineChars="200"/>
        <w:rPr>
          <w:rFonts w:ascii="宋体" w:hAnsi="宋体" w:cs="宋体"/>
          <w:sz w:val="22"/>
        </w:rPr>
      </w:pPr>
      <w:r>
        <w:rPr>
          <w:rFonts w:hint="eastAsia" w:ascii="宋体" w:hAnsi="宋体" w:cs="宋体"/>
          <w:sz w:val="22"/>
        </w:rPr>
        <w:t>17.2.3预付款扣回：/。</w:t>
      </w:r>
    </w:p>
    <w:p>
      <w:pPr>
        <w:snapToGrid w:val="0"/>
        <w:spacing w:line="360" w:lineRule="exact"/>
        <w:rPr>
          <w:rFonts w:ascii="宋体" w:hAnsi="宋体" w:cs="宋体"/>
          <w:sz w:val="22"/>
        </w:rPr>
      </w:pPr>
      <w:r>
        <w:rPr>
          <w:rFonts w:hint="eastAsia" w:ascii="宋体" w:hAnsi="宋体" w:cs="宋体"/>
          <w:sz w:val="22"/>
        </w:rPr>
        <w:t>17.3 工程进度付款</w:t>
      </w:r>
    </w:p>
    <w:p>
      <w:pPr>
        <w:snapToGrid w:val="0"/>
        <w:spacing w:line="360" w:lineRule="exact"/>
        <w:ind w:firstLine="440" w:firstLineChars="200"/>
        <w:rPr>
          <w:rFonts w:ascii="宋体" w:hAnsi="宋体" w:cs="宋体"/>
          <w:sz w:val="22"/>
        </w:rPr>
      </w:pPr>
      <w:r>
        <w:rPr>
          <w:rFonts w:hint="eastAsia" w:ascii="宋体" w:hAnsi="宋体" w:cs="宋体"/>
          <w:sz w:val="22"/>
        </w:rPr>
        <w:t>17.3.1 进度付款申请单</w:t>
      </w:r>
    </w:p>
    <w:p>
      <w:pPr>
        <w:snapToGrid w:val="0"/>
        <w:spacing w:line="360" w:lineRule="exact"/>
        <w:ind w:firstLine="440" w:firstLineChars="200"/>
        <w:rPr>
          <w:rFonts w:ascii="宋体" w:hAnsi="宋体" w:cs="宋体"/>
          <w:sz w:val="22"/>
        </w:rPr>
      </w:pPr>
      <w:r>
        <w:rPr>
          <w:rFonts w:hint="eastAsia" w:ascii="宋体" w:hAnsi="宋体" w:cs="宋体"/>
          <w:sz w:val="22"/>
        </w:rPr>
        <w:t>双方约定的进度付款申请单份数：6 份，时间：每月5日前上报上月付款申请。</w:t>
      </w:r>
    </w:p>
    <w:p>
      <w:pPr>
        <w:snapToGrid w:val="0"/>
        <w:spacing w:line="360" w:lineRule="exact"/>
        <w:ind w:firstLine="440" w:firstLineChars="200"/>
        <w:rPr>
          <w:rFonts w:ascii="宋体" w:hAnsi="宋体" w:cs="宋体"/>
          <w:sz w:val="22"/>
        </w:rPr>
      </w:pPr>
      <w:r>
        <w:rPr>
          <w:rFonts w:hint="eastAsia" w:ascii="宋体" w:hAnsi="宋体" w:cs="宋体"/>
          <w:sz w:val="22"/>
        </w:rPr>
        <w:t>17.3.2工程进度款：</w:t>
      </w:r>
    </w:p>
    <w:p>
      <w:pPr>
        <w:snapToGrid w:val="0"/>
        <w:spacing w:line="360" w:lineRule="exact"/>
        <w:ind w:firstLine="440" w:firstLineChars="200"/>
        <w:rPr>
          <w:rFonts w:ascii="宋体" w:hAnsi="宋体" w:cs="宋体"/>
          <w:sz w:val="22"/>
        </w:rPr>
      </w:pPr>
      <w:r>
        <w:rPr>
          <w:rFonts w:hint="eastAsia" w:ascii="宋体" w:hAnsi="宋体" w:cs="宋体"/>
          <w:sz w:val="22"/>
        </w:rPr>
        <w:t>工程竣工验收通过并完成工程结算，经发包人认可后</w:t>
      </w:r>
      <w:r>
        <w:rPr>
          <w:rFonts w:ascii="宋体" w:hAnsi="宋体" w:cs="宋体"/>
          <w:sz w:val="22"/>
        </w:rPr>
        <w:t>30</w:t>
      </w:r>
      <w:r>
        <w:rPr>
          <w:rFonts w:hint="eastAsia" w:ascii="宋体" w:hAnsi="宋体" w:cs="宋体"/>
          <w:sz w:val="22"/>
        </w:rPr>
        <w:t>天内，发包人向承包人支付结算价的95</w:t>
      </w:r>
      <w:r>
        <w:rPr>
          <w:rFonts w:ascii="宋体" w:hAnsi="宋体" w:cs="宋体"/>
          <w:sz w:val="22"/>
        </w:rPr>
        <w:t>%</w:t>
      </w:r>
      <w:r>
        <w:rPr>
          <w:rFonts w:hint="eastAsia" w:ascii="宋体" w:hAnsi="宋体" w:cs="宋体"/>
          <w:sz w:val="22"/>
        </w:rPr>
        <w:t>，并无息退还承包人履约保证金。结算价的5</w:t>
      </w:r>
      <w:r>
        <w:rPr>
          <w:rFonts w:ascii="宋体" w:hAnsi="宋体" w:cs="宋体"/>
          <w:sz w:val="22"/>
        </w:rPr>
        <w:t>%</w:t>
      </w:r>
      <w:r>
        <w:rPr>
          <w:rFonts w:hint="eastAsia" w:ascii="宋体" w:hAnsi="宋体" w:cs="宋体"/>
          <w:sz w:val="22"/>
        </w:rPr>
        <w:t>留作质量保证金，待缺陷责任期满后无利息支付。</w:t>
      </w:r>
    </w:p>
    <w:p>
      <w:pPr>
        <w:snapToGrid w:val="0"/>
        <w:spacing w:line="360" w:lineRule="exact"/>
        <w:rPr>
          <w:rFonts w:ascii="宋体" w:hAnsi="宋体" w:cs="宋体"/>
          <w:sz w:val="22"/>
        </w:rPr>
      </w:pPr>
      <w:r>
        <w:rPr>
          <w:rFonts w:hint="eastAsia" w:ascii="宋体" w:hAnsi="宋体" w:cs="宋体"/>
          <w:sz w:val="22"/>
        </w:rPr>
        <w:t>17.4 质量保证金</w:t>
      </w:r>
    </w:p>
    <w:p>
      <w:pPr>
        <w:snapToGrid w:val="0"/>
        <w:spacing w:line="360" w:lineRule="exact"/>
        <w:ind w:firstLine="440" w:firstLineChars="200"/>
        <w:rPr>
          <w:rFonts w:ascii="宋体" w:hAnsi="宋体" w:cs="宋体"/>
          <w:sz w:val="22"/>
        </w:rPr>
      </w:pPr>
      <w:r>
        <w:rPr>
          <w:rFonts w:hint="eastAsia" w:ascii="宋体" w:hAnsi="宋体" w:cs="宋体"/>
          <w:sz w:val="22"/>
        </w:rPr>
        <w:t>修改以下内容：</w:t>
      </w:r>
    </w:p>
    <w:p>
      <w:pPr>
        <w:snapToGrid w:val="0"/>
        <w:spacing w:line="360" w:lineRule="exact"/>
        <w:ind w:firstLine="440" w:firstLineChars="200"/>
        <w:rPr>
          <w:rFonts w:ascii="宋体" w:hAnsi="宋体" w:cs="宋体"/>
          <w:sz w:val="22"/>
        </w:rPr>
      </w:pPr>
      <w:r>
        <w:rPr>
          <w:rFonts w:hint="eastAsia" w:ascii="宋体" w:hAnsi="宋体" w:cs="宋体"/>
          <w:sz w:val="22"/>
        </w:rPr>
        <w:t>17.4.1 双方约定按第17.3.2款的规定扣留质量保证金。</w:t>
      </w:r>
    </w:p>
    <w:p>
      <w:pPr>
        <w:snapToGrid w:val="0"/>
        <w:spacing w:line="360" w:lineRule="exact"/>
        <w:rPr>
          <w:rFonts w:ascii="宋体" w:hAnsi="宋体" w:cs="宋体"/>
          <w:sz w:val="22"/>
        </w:rPr>
      </w:pPr>
      <w:r>
        <w:rPr>
          <w:rFonts w:hint="eastAsia" w:ascii="宋体" w:hAnsi="宋体" w:cs="宋体"/>
          <w:sz w:val="22"/>
        </w:rPr>
        <w:t>17.5 竣工结算</w:t>
      </w:r>
    </w:p>
    <w:p>
      <w:pPr>
        <w:snapToGrid w:val="0"/>
        <w:spacing w:line="360" w:lineRule="exact"/>
        <w:ind w:firstLine="440" w:firstLineChars="200"/>
        <w:rPr>
          <w:rFonts w:ascii="宋体" w:hAnsi="宋体" w:cs="宋体"/>
          <w:sz w:val="22"/>
        </w:rPr>
      </w:pPr>
      <w:r>
        <w:rPr>
          <w:rFonts w:hint="eastAsia" w:ascii="宋体" w:hAnsi="宋体" w:cs="宋体"/>
          <w:sz w:val="22"/>
        </w:rPr>
        <w:t>17.5.1 竣工付款申请单</w:t>
      </w:r>
    </w:p>
    <w:p>
      <w:pPr>
        <w:snapToGrid w:val="0"/>
        <w:spacing w:line="360" w:lineRule="exact"/>
        <w:ind w:firstLine="440" w:firstLineChars="200"/>
        <w:rPr>
          <w:rFonts w:ascii="宋体" w:hAnsi="宋体" w:cs="宋体"/>
          <w:sz w:val="22"/>
        </w:rPr>
      </w:pPr>
      <w:r>
        <w:rPr>
          <w:rFonts w:hint="eastAsia" w:ascii="宋体" w:hAnsi="宋体" w:cs="宋体"/>
          <w:sz w:val="22"/>
        </w:rPr>
        <w:t>（1）双方约定承包人提交的竣工付款申请单份数：6份，时间：工程竣工验收报告经发包人认可后28天内。</w:t>
      </w:r>
    </w:p>
    <w:p>
      <w:pPr>
        <w:snapToGrid w:val="0"/>
        <w:spacing w:line="360" w:lineRule="exact"/>
        <w:rPr>
          <w:rFonts w:ascii="宋体" w:hAnsi="宋体" w:cs="宋体"/>
          <w:sz w:val="22"/>
        </w:rPr>
      </w:pPr>
      <w:r>
        <w:rPr>
          <w:rFonts w:hint="eastAsia" w:ascii="宋体" w:hAnsi="宋体" w:cs="宋体"/>
          <w:sz w:val="22"/>
        </w:rPr>
        <w:t>17.6 最终结清</w:t>
      </w:r>
    </w:p>
    <w:p>
      <w:pPr>
        <w:snapToGrid w:val="0"/>
        <w:spacing w:line="360" w:lineRule="exact"/>
        <w:ind w:firstLine="440" w:firstLineChars="200"/>
        <w:rPr>
          <w:rFonts w:ascii="宋体" w:hAnsi="宋体" w:cs="宋体"/>
          <w:sz w:val="22"/>
        </w:rPr>
      </w:pPr>
      <w:r>
        <w:rPr>
          <w:rFonts w:hint="eastAsia" w:ascii="宋体" w:hAnsi="宋体" w:cs="宋体"/>
          <w:sz w:val="22"/>
        </w:rPr>
        <w:t>17.6.1 最终结清申请单</w:t>
      </w:r>
    </w:p>
    <w:p>
      <w:pPr>
        <w:snapToGrid w:val="0"/>
        <w:spacing w:line="360" w:lineRule="exact"/>
        <w:ind w:firstLine="440" w:firstLineChars="200"/>
        <w:rPr>
          <w:rFonts w:ascii="宋体" w:hAnsi="宋体" w:cs="宋体"/>
          <w:sz w:val="22"/>
        </w:rPr>
      </w:pPr>
      <w:r>
        <w:rPr>
          <w:rFonts w:hint="eastAsia" w:ascii="宋体" w:hAnsi="宋体" w:cs="宋体"/>
          <w:sz w:val="22"/>
        </w:rPr>
        <w:t>双方约定承包人提交的最终结清申请单份数： 6份，时间：缺陷责任期终止证书签发后28天内。</w:t>
      </w:r>
    </w:p>
    <w:p>
      <w:pPr>
        <w:snapToGrid w:val="0"/>
        <w:spacing w:line="360" w:lineRule="exact"/>
        <w:rPr>
          <w:rFonts w:ascii="宋体" w:hAnsi="宋体" w:cs="宋体"/>
          <w:sz w:val="22"/>
        </w:rPr>
      </w:pPr>
      <w:r>
        <w:rPr>
          <w:rFonts w:hint="eastAsia" w:ascii="宋体" w:hAnsi="宋体" w:cs="宋体"/>
          <w:sz w:val="22"/>
        </w:rPr>
        <w:t>18．竣工验收</w:t>
      </w:r>
    </w:p>
    <w:p>
      <w:pPr>
        <w:snapToGrid w:val="0"/>
        <w:spacing w:line="360" w:lineRule="exact"/>
        <w:rPr>
          <w:rFonts w:ascii="宋体" w:hAnsi="宋体" w:cs="宋体"/>
          <w:sz w:val="22"/>
        </w:rPr>
      </w:pPr>
      <w:r>
        <w:rPr>
          <w:rFonts w:hint="eastAsia" w:ascii="宋体" w:hAnsi="宋体" w:cs="宋体"/>
          <w:sz w:val="22"/>
        </w:rPr>
        <w:t>18.9竣工归档资料</w:t>
      </w:r>
    </w:p>
    <w:p>
      <w:pPr>
        <w:snapToGrid w:val="0"/>
        <w:spacing w:line="360" w:lineRule="exact"/>
        <w:ind w:firstLine="440" w:firstLineChars="200"/>
        <w:rPr>
          <w:rFonts w:ascii="宋体" w:hAnsi="宋体" w:cs="宋体"/>
          <w:sz w:val="22"/>
        </w:rPr>
      </w:pPr>
      <w:r>
        <w:rPr>
          <w:rFonts w:hint="eastAsia" w:ascii="宋体" w:hAnsi="宋体" w:cs="宋体"/>
          <w:sz w:val="22"/>
        </w:rPr>
        <w:t>承包人应在合同规定的工程竣工日的28天前，免费向发包人提交4套竣工图纸和竣工资料（包括相片）。如因资料不符合要求而产生的资料整理费用，由承包人承担。具体要求见附件四。</w:t>
      </w:r>
    </w:p>
    <w:p>
      <w:pPr>
        <w:snapToGrid w:val="0"/>
        <w:spacing w:line="360" w:lineRule="exact"/>
        <w:rPr>
          <w:rFonts w:ascii="宋体" w:hAnsi="宋体" w:cs="宋体"/>
          <w:sz w:val="22"/>
        </w:rPr>
      </w:pPr>
      <w:r>
        <w:rPr>
          <w:rFonts w:hint="eastAsia" w:ascii="宋体" w:hAnsi="宋体" w:cs="宋体"/>
          <w:sz w:val="22"/>
        </w:rPr>
        <w:t>19．缺陷责任与保修责任</w:t>
      </w:r>
    </w:p>
    <w:p>
      <w:pPr>
        <w:snapToGrid w:val="0"/>
        <w:spacing w:line="360" w:lineRule="exact"/>
        <w:rPr>
          <w:rFonts w:ascii="宋体" w:hAnsi="宋体" w:cs="宋体"/>
          <w:sz w:val="22"/>
        </w:rPr>
      </w:pPr>
      <w:r>
        <w:rPr>
          <w:rFonts w:hint="eastAsia" w:ascii="宋体" w:hAnsi="宋体" w:cs="宋体"/>
          <w:sz w:val="22"/>
        </w:rPr>
        <w:t>19.7 保修责任</w:t>
      </w:r>
    </w:p>
    <w:p>
      <w:pPr>
        <w:snapToGrid w:val="0"/>
        <w:spacing w:line="360" w:lineRule="exact"/>
        <w:ind w:firstLine="440" w:firstLineChars="200"/>
        <w:rPr>
          <w:rFonts w:ascii="宋体" w:hAnsi="宋体" w:cs="宋体"/>
          <w:sz w:val="22"/>
        </w:rPr>
      </w:pPr>
      <w:r>
        <w:rPr>
          <w:rFonts w:hint="eastAsia" w:ascii="宋体" w:hAnsi="宋体" w:cs="宋体"/>
          <w:sz w:val="22"/>
        </w:rPr>
        <w:t>双方约定工程质量保修范围、期限和责任：见“附件一：工程质量保修书”。</w:t>
      </w:r>
    </w:p>
    <w:p>
      <w:pPr>
        <w:snapToGrid w:val="0"/>
        <w:spacing w:line="360" w:lineRule="exact"/>
        <w:rPr>
          <w:rFonts w:ascii="宋体" w:hAnsi="宋体" w:cs="宋体"/>
          <w:sz w:val="22"/>
        </w:rPr>
      </w:pPr>
      <w:r>
        <w:rPr>
          <w:rFonts w:hint="eastAsia" w:ascii="宋体" w:hAnsi="宋体" w:cs="宋体"/>
          <w:sz w:val="22"/>
        </w:rPr>
        <w:t>20．保险</w:t>
      </w:r>
    </w:p>
    <w:p>
      <w:pPr>
        <w:snapToGrid w:val="0"/>
        <w:spacing w:line="360" w:lineRule="exact"/>
        <w:rPr>
          <w:rFonts w:ascii="宋体" w:hAnsi="宋体" w:cs="宋体"/>
          <w:sz w:val="22"/>
        </w:rPr>
      </w:pPr>
      <w:r>
        <w:rPr>
          <w:rFonts w:hint="eastAsia" w:ascii="宋体" w:hAnsi="宋体" w:cs="宋体"/>
          <w:sz w:val="22"/>
        </w:rPr>
        <w:t>20.1 工程保险</w:t>
      </w:r>
    </w:p>
    <w:p>
      <w:pPr>
        <w:snapToGrid w:val="0"/>
        <w:spacing w:line="360" w:lineRule="exact"/>
        <w:ind w:firstLine="440" w:firstLineChars="200"/>
        <w:rPr>
          <w:rFonts w:ascii="宋体" w:hAnsi="宋体" w:cs="宋体"/>
          <w:sz w:val="22"/>
        </w:rPr>
      </w:pPr>
      <w:r>
        <w:rPr>
          <w:rFonts w:hint="eastAsia" w:ascii="宋体" w:hAnsi="宋体" w:cs="宋体"/>
          <w:sz w:val="22"/>
        </w:rPr>
        <w:t>承包人必须为从事危险作业的职工办理意外伤害保险，并为施工场地内承包人的自有人员生命财产及施工机械设备办理保险，支付保险费用。承包人按施工安全规范和采取预防事故的措施，确保施工安全和第三者安全，承包人负责所有参与施工人员的人身意外保险；凡施工中发生的一切安全事故，均由承包人负责所发生事故的依法应该支付的损失赔偿费、抚恤费和其他法律规定应当支付的费用和法律规定应当承担的责任，发包人不承担此责任，如因此给发包人造成损失的，承包人应赔偿发包人因此所遭受的全部损失。</w:t>
      </w:r>
    </w:p>
    <w:p>
      <w:pPr>
        <w:snapToGrid w:val="0"/>
        <w:spacing w:line="360" w:lineRule="exact"/>
        <w:ind w:firstLine="440" w:firstLineChars="200"/>
        <w:rPr>
          <w:rFonts w:ascii="宋体" w:hAnsi="宋体" w:cs="宋体"/>
          <w:sz w:val="22"/>
        </w:rPr>
      </w:pPr>
      <w:r>
        <w:rPr>
          <w:rFonts w:hint="eastAsia" w:ascii="宋体" w:hAnsi="宋体" w:cs="宋体"/>
          <w:sz w:val="22"/>
        </w:rPr>
        <w:t>双方约定的投保内容、保险金额、保险费率、保险期限等有关内容：建筑工程一切险和安装工程一切险由发包人办理，其他按国家、省、市有关规定由承包人办理的按有关规定执行，其中，涉及发包人保险利益的，应将发包人列为被保险人。如发生保险事故的保险赔偿金少于实际损失的情况，差额部分由承包人承担。</w:t>
      </w:r>
    </w:p>
    <w:p>
      <w:pPr>
        <w:snapToGrid w:val="0"/>
        <w:spacing w:line="360" w:lineRule="exact"/>
        <w:ind w:firstLine="440" w:firstLineChars="200"/>
        <w:rPr>
          <w:rFonts w:ascii="宋体" w:hAnsi="宋体" w:cs="宋体"/>
          <w:sz w:val="22"/>
        </w:rPr>
      </w:pPr>
      <w:r>
        <w:rPr>
          <w:rFonts w:hint="eastAsia" w:ascii="宋体" w:hAnsi="宋体" w:cs="宋体"/>
          <w:sz w:val="22"/>
        </w:rPr>
        <w:t>承包人须在签订本合同之日起30日内（如在此期间发生保险事故，由承包人承担风险），按照本合同的约定办理办结保险事宜，否则视为承包人违约，承包人除须按本合同总价2%支付违约金外，还应承担未投保或未及时投保而引起的一切赔偿责任。</w:t>
      </w:r>
    </w:p>
    <w:p>
      <w:pPr>
        <w:snapToGrid w:val="0"/>
        <w:spacing w:line="360" w:lineRule="exact"/>
        <w:rPr>
          <w:rFonts w:ascii="宋体" w:hAnsi="宋体" w:cs="宋体"/>
          <w:sz w:val="22"/>
        </w:rPr>
      </w:pPr>
      <w:r>
        <w:rPr>
          <w:rFonts w:hint="eastAsia" w:ascii="宋体" w:hAnsi="宋体" w:cs="宋体"/>
          <w:sz w:val="22"/>
        </w:rPr>
        <w:t>21．不可抗力</w:t>
      </w:r>
    </w:p>
    <w:p>
      <w:pPr>
        <w:snapToGrid w:val="0"/>
        <w:spacing w:line="360" w:lineRule="exact"/>
        <w:rPr>
          <w:rFonts w:ascii="宋体" w:hAnsi="宋体" w:cs="宋体"/>
          <w:sz w:val="22"/>
        </w:rPr>
      </w:pPr>
      <w:r>
        <w:rPr>
          <w:rFonts w:hint="eastAsia" w:ascii="宋体" w:hAnsi="宋体" w:cs="宋体"/>
          <w:sz w:val="22"/>
        </w:rPr>
        <w:t>21.1 不可抗力的确认</w:t>
      </w:r>
    </w:p>
    <w:p>
      <w:pPr>
        <w:snapToGrid w:val="0"/>
        <w:spacing w:line="360" w:lineRule="exact"/>
        <w:ind w:firstLine="440" w:firstLineChars="200"/>
        <w:rPr>
          <w:rFonts w:ascii="宋体" w:hAnsi="宋体" w:cs="宋体"/>
          <w:sz w:val="22"/>
        </w:rPr>
      </w:pPr>
      <w:r>
        <w:rPr>
          <w:rFonts w:hint="eastAsia" w:ascii="宋体" w:hAnsi="宋体" w:cs="宋体"/>
          <w:sz w:val="22"/>
        </w:rPr>
        <w:t>21.1.1双方关于不可抗力的约定：经相关行政主管部门认定，直接造成本工程损失的六级以上地震、山洪暴发、战争。</w:t>
      </w:r>
    </w:p>
    <w:p>
      <w:pPr>
        <w:snapToGrid w:val="0"/>
        <w:spacing w:line="360" w:lineRule="exact"/>
        <w:rPr>
          <w:rFonts w:ascii="宋体" w:hAnsi="宋体" w:cs="宋体"/>
          <w:sz w:val="22"/>
        </w:rPr>
      </w:pPr>
      <w:r>
        <w:rPr>
          <w:rFonts w:hint="eastAsia" w:ascii="宋体" w:hAnsi="宋体" w:cs="宋体"/>
          <w:sz w:val="22"/>
        </w:rPr>
        <w:t>22．违约</w:t>
      </w:r>
    </w:p>
    <w:p>
      <w:pPr>
        <w:snapToGrid w:val="0"/>
        <w:spacing w:line="360" w:lineRule="exact"/>
        <w:rPr>
          <w:rFonts w:ascii="宋体" w:hAnsi="宋体" w:cs="宋体"/>
          <w:sz w:val="22"/>
        </w:rPr>
      </w:pPr>
      <w:r>
        <w:rPr>
          <w:rFonts w:hint="eastAsia" w:ascii="宋体" w:hAnsi="宋体" w:cs="宋体"/>
          <w:sz w:val="22"/>
        </w:rPr>
        <w:t>22.1 承包人违约</w:t>
      </w:r>
    </w:p>
    <w:p>
      <w:pPr>
        <w:snapToGrid w:val="0"/>
        <w:spacing w:line="360" w:lineRule="exact"/>
        <w:ind w:firstLine="440" w:firstLineChars="200"/>
        <w:rPr>
          <w:rFonts w:ascii="宋体" w:hAnsi="宋体" w:cs="宋体"/>
          <w:sz w:val="22"/>
        </w:rPr>
      </w:pPr>
      <w:r>
        <w:rPr>
          <w:rFonts w:hint="eastAsia" w:ascii="宋体" w:hAnsi="宋体" w:cs="宋体"/>
          <w:sz w:val="22"/>
        </w:rPr>
        <w:t>22.1.1除通用条款中约定的情形外，承包人违约情形还包括：</w:t>
      </w:r>
    </w:p>
    <w:p>
      <w:pPr>
        <w:snapToGrid w:val="0"/>
        <w:spacing w:line="360" w:lineRule="exact"/>
        <w:ind w:firstLine="440" w:firstLineChars="200"/>
        <w:rPr>
          <w:rFonts w:ascii="宋体" w:hAnsi="宋体" w:cs="宋体"/>
          <w:sz w:val="22"/>
        </w:rPr>
      </w:pPr>
      <w:r>
        <w:rPr>
          <w:rFonts w:hint="eastAsia" w:ascii="宋体" w:hAnsi="宋体" w:cs="宋体"/>
          <w:sz w:val="22"/>
        </w:rPr>
        <w:t>（1）不符合本合同4.5.5、4.5.6款情形约定的到位率或任职要求的，或其它管理人员到位率小于90％的；</w:t>
      </w:r>
    </w:p>
    <w:p>
      <w:pPr>
        <w:snapToGrid w:val="0"/>
        <w:spacing w:line="360" w:lineRule="exact"/>
        <w:ind w:firstLine="440" w:firstLineChars="200"/>
        <w:rPr>
          <w:rFonts w:ascii="宋体" w:hAnsi="宋体" w:cs="宋体"/>
          <w:sz w:val="22"/>
        </w:rPr>
      </w:pPr>
      <w:r>
        <w:rPr>
          <w:rFonts w:hint="eastAsia" w:ascii="宋体" w:hAnsi="宋体" w:cs="宋体"/>
          <w:sz w:val="22"/>
        </w:rPr>
        <w:t>（2）投标文件记载的主要管理、技术人员不到位或未经发包人同意擅自更换的；</w:t>
      </w:r>
    </w:p>
    <w:p>
      <w:pPr>
        <w:snapToGrid w:val="0"/>
        <w:spacing w:line="360" w:lineRule="exact"/>
        <w:ind w:firstLine="440" w:firstLineChars="200"/>
        <w:rPr>
          <w:rFonts w:ascii="宋体" w:hAnsi="宋体" w:cs="宋体"/>
          <w:sz w:val="22"/>
        </w:rPr>
      </w:pPr>
      <w:r>
        <w:rPr>
          <w:rFonts w:hint="eastAsia" w:ascii="宋体" w:hAnsi="宋体" w:cs="宋体"/>
          <w:sz w:val="22"/>
        </w:rPr>
        <w:t>（3）无法定和约定的理由拒绝或懈怠履行合同的。</w:t>
      </w:r>
    </w:p>
    <w:p>
      <w:pPr>
        <w:snapToGrid w:val="0"/>
        <w:spacing w:line="360" w:lineRule="exact"/>
        <w:ind w:firstLine="442" w:firstLineChars="200"/>
        <w:rPr>
          <w:rFonts w:ascii="宋体" w:hAnsi="宋体" w:cs="宋体"/>
          <w:b/>
          <w:sz w:val="22"/>
        </w:rPr>
      </w:pPr>
      <w:r>
        <w:rPr>
          <w:rFonts w:hint="eastAsia" w:ascii="宋体" w:hAnsi="宋体" w:cs="宋体"/>
          <w:b/>
          <w:sz w:val="22"/>
        </w:rPr>
        <w:t>（4）不符合本合同第7.1条、10.1 条、15.4.4 条、20.1条规定及要求的。</w:t>
      </w:r>
    </w:p>
    <w:p>
      <w:pPr>
        <w:snapToGrid w:val="0"/>
        <w:spacing w:line="360" w:lineRule="exact"/>
        <w:ind w:firstLine="440" w:firstLineChars="200"/>
        <w:rPr>
          <w:rFonts w:ascii="宋体" w:hAnsi="宋体" w:cs="宋体"/>
          <w:sz w:val="22"/>
        </w:rPr>
      </w:pPr>
      <w:r>
        <w:rPr>
          <w:rFonts w:hint="eastAsia" w:ascii="宋体" w:hAnsi="宋体" w:cs="宋体"/>
          <w:sz w:val="22"/>
        </w:rPr>
        <w:t>22.1.2对承包人违约的处理：</w:t>
      </w:r>
    </w:p>
    <w:p>
      <w:pPr>
        <w:snapToGrid w:val="0"/>
        <w:spacing w:line="360" w:lineRule="exact"/>
        <w:ind w:firstLine="440" w:firstLineChars="200"/>
        <w:rPr>
          <w:rFonts w:ascii="宋体" w:hAnsi="宋体" w:cs="宋体"/>
          <w:sz w:val="22"/>
        </w:rPr>
      </w:pPr>
      <w:r>
        <w:rPr>
          <w:rFonts w:hint="eastAsia" w:ascii="宋体" w:hAnsi="宋体" w:cs="宋体"/>
          <w:sz w:val="22"/>
        </w:rPr>
        <w:t>承包人发生22.1.1或以下违约行为之一的，根据其违约行为种类，除承包人须根据本合同约定支付违约金外，并根据其对发包人造成经济损失的程度予以赔偿，此外，发包人亦有权终止合同而不向承包人作任何赔偿或补偿。</w:t>
      </w:r>
    </w:p>
    <w:p>
      <w:pPr>
        <w:snapToGrid w:val="0"/>
        <w:spacing w:line="360" w:lineRule="exact"/>
        <w:ind w:firstLine="440" w:firstLineChars="200"/>
        <w:rPr>
          <w:rFonts w:ascii="宋体" w:hAnsi="宋体" w:cs="宋体"/>
          <w:sz w:val="22"/>
        </w:rPr>
      </w:pPr>
      <w:r>
        <w:rPr>
          <w:rFonts w:hint="eastAsia" w:ascii="宋体" w:hAnsi="宋体" w:cs="宋体"/>
          <w:sz w:val="22"/>
        </w:rPr>
        <w:t>根据承包人的违约情形，发包人可主张承包人承担如下部分或全部的赔偿责任：</w:t>
      </w:r>
    </w:p>
    <w:p>
      <w:pPr>
        <w:snapToGrid w:val="0"/>
        <w:spacing w:line="360" w:lineRule="exact"/>
        <w:ind w:firstLine="440" w:firstLineChars="200"/>
        <w:rPr>
          <w:rFonts w:ascii="宋体" w:hAnsi="宋体" w:cs="宋体"/>
          <w:sz w:val="22"/>
        </w:rPr>
      </w:pPr>
      <w:r>
        <w:rPr>
          <w:rFonts w:hint="eastAsia" w:ascii="宋体" w:hAnsi="宋体" w:cs="宋体"/>
          <w:sz w:val="22"/>
        </w:rPr>
        <w:t>（1）及时整改及承担费用的责任；</w:t>
      </w:r>
    </w:p>
    <w:p>
      <w:pPr>
        <w:snapToGrid w:val="0"/>
        <w:spacing w:line="360" w:lineRule="exact"/>
        <w:ind w:firstLine="440" w:firstLineChars="200"/>
        <w:rPr>
          <w:rFonts w:ascii="宋体" w:hAnsi="宋体" w:cs="宋体"/>
          <w:sz w:val="22"/>
        </w:rPr>
      </w:pPr>
      <w:r>
        <w:rPr>
          <w:rFonts w:hint="eastAsia" w:ascii="宋体" w:hAnsi="宋体" w:cs="宋体"/>
          <w:sz w:val="22"/>
        </w:rPr>
        <w:t>（2）导致发包人解除合同并重新委托第三方修复、重建或继续未完施工的，承包人须向发包人赔偿因此导致的发包人额外支出；</w:t>
      </w:r>
    </w:p>
    <w:p>
      <w:pPr>
        <w:snapToGrid w:val="0"/>
        <w:spacing w:line="360" w:lineRule="exact"/>
        <w:ind w:firstLine="440" w:firstLineChars="200"/>
        <w:rPr>
          <w:rFonts w:ascii="宋体" w:hAnsi="宋体" w:cs="宋体"/>
          <w:sz w:val="22"/>
        </w:rPr>
      </w:pPr>
      <w:r>
        <w:rPr>
          <w:rFonts w:hint="eastAsia" w:ascii="宋体" w:hAnsi="宋体" w:cs="宋体"/>
          <w:sz w:val="22"/>
        </w:rPr>
        <w:t>（3）发包人为解除合同而与承包人发生争议，且争议经合同约定的争议解决机构或裁决机构生效裁决确定发包人有权解除合同的，则为处理争议所发生的一切实际费用须由承包人承担；</w:t>
      </w:r>
    </w:p>
    <w:p>
      <w:pPr>
        <w:snapToGrid w:val="0"/>
        <w:spacing w:line="360" w:lineRule="exact"/>
        <w:ind w:firstLine="440" w:firstLineChars="200"/>
        <w:rPr>
          <w:rFonts w:ascii="宋体" w:hAnsi="宋体" w:cs="宋体"/>
          <w:sz w:val="22"/>
        </w:rPr>
      </w:pPr>
      <w:r>
        <w:rPr>
          <w:rFonts w:hint="eastAsia" w:ascii="宋体" w:hAnsi="宋体" w:cs="宋体"/>
          <w:sz w:val="22"/>
        </w:rPr>
        <w:t>（4）承包人须承担因其违约导致发包人所遭受的第三人索赔；</w:t>
      </w:r>
    </w:p>
    <w:p>
      <w:pPr>
        <w:snapToGrid w:val="0"/>
        <w:spacing w:line="360" w:lineRule="exact"/>
        <w:ind w:firstLine="440" w:firstLineChars="200"/>
        <w:rPr>
          <w:rFonts w:ascii="宋体" w:hAnsi="宋体" w:cs="宋体"/>
          <w:sz w:val="22"/>
        </w:rPr>
      </w:pPr>
      <w:r>
        <w:rPr>
          <w:rFonts w:hint="eastAsia" w:ascii="宋体" w:hAnsi="宋体" w:cs="宋体"/>
          <w:sz w:val="22"/>
        </w:rPr>
        <w:t>（5）承包人须承担其违约行为导致发包人所遭受其他实际损害的赔偿责任；</w:t>
      </w:r>
    </w:p>
    <w:p>
      <w:pPr>
        <w:snapToGrid w:val="0"/>
        <w:spacing w:line="360" w:lineRule="exact"/>
        <w:ind w:firstLine="440" w:firstLineChars="200"/>
        <w:rPr>
          <w:rFonts w:ascii="宋体" w:hAnsi="宋体" w:cs="宋体"/>
          <w:sz w:val="22"/>
        </w:rPr>
      </w:pPr>
      <w:r>
        <w:rPr>
          <w:rFonts w:hint="eastAsia" w:ascii="宋体" w:hAnsi="宋体" w:cs="宋体"/>
          <w:sz w:val="22"/>
        </w:rPr>
        <w:t>（6）本专用合同其他条款约定的违约金。</w:t>
      </w:r>
    </w:p>
    <w:p>
      <w:pPr>
        <w:snapToGrid w:val="0"/>
        <w:spacing w:line="360" w:lineRule="exact"/>
        <w:ind w:firstLine="440" w:firstLineChars="200"/>
        <w:rPr>
          <w:rFonts w:ascii="宋体" w:hAnsi="宋体" w:cs="宋体"/>
          <w:sz w:val="22"/>
        </w:rPr>
      </w:pPr>
      <w:r>
        <w:rPr>
          <w:rFonts w:hint="eastAsia" w:ascii="宋体" w:hAnsi="宋体" w:cs="宋体"/>
          <w:sz w:val="22"/>
        </w:rPr>
        <w:t>22.1.8发包人根据法律规定或合同约定解除本合同的，发包人无须向承包人作任何赔偿或补偿。</w:t>
      </w:r>
    </w:p>
    <w:p>
      <w:pPr>
        <w:snapToGrid w:val="0"/>
        <w:spacing w:line="360" w:lineRule="exact"/>
        <w:ind w:firstLine="440" w:firstLineChars="200"/>
        <w:rPr>
          <w:rFonts w:ascii="宋体" w:hAnsi="宋体" w:cs="宋体"/>
          <w:sz w:val="22"/>
        </w:rPr>
      </w:pPr>
      <w:r>
        <w:rPr>
          <w:rFonts w:hint="eastAsia" w:ascii="宋体" w:hAnsi="宋体" w:cs="宋体"/>
          <w:sz w:val="22"/>
        </w:rPr>
        <w:t>22.1.9  因承包人弄虚作假骗取订立本合同或在本合同的履行中违约等情形而由发包人按法律规定或本合同的约定依法解除本合同的，则承包人应当向发包人承担如下义务或违约责任：</w:t>
      </w:r>
    </w:p>
    <w:p>
      <w:pPr>
        <w:snapToGrid w:val="0"/>
        <w:spacing w:line="360" w:lineRule="exact"/>
        <w:ind w:firstLine="440" w:firstLineChars="200"/>
        <w:rPr>
          <w:rFonts w:ascii="宋体" w:hAnsi="宋体" w:cs="宋体"/>
          <w:sz w:val="22"/>
        </w:rPr>
      </w:pPr>
      <w:r>
        <w:rPr>
          <w:rFonts w:hint="eastAsia" w:ascii="宋体" w:hAnsi="宋体" w:cs="宋体"/>
          <w:sz w:val="22"/>
        </w:rPr>
        <w:t>（1）向发包人支付不低于本合同约定的合同总价的10%作为违约金；</w:t>
      </w:r>
    </w:p>
    <w:p>
      <w:pPr>
        <w:snapToGrid w:val="0"/>
        <w:spacing w:line="360" w:lineRule="exact"/>
        <w:ind w:firstLine="440" w:firstLineChars="200"/>
        <w:rPr>
          <w:rFonts w:ascii="宋体" w:hAnsi="宋体" w:cs="宋体"/>
          <w:sz w:val="22"/>
        </w:rPr>
      </w:pPr>
      <w:r>
        <w:rPr>
          <w:rFonts w:hint="eastAsia" w:ascii="宋体" w:hAnsi="宋体" w:cs="宋体"/>
          <w:sz w:val="22"/>
        </w:rPr>
        <w:t>（2）承担发包人就本协议项下未完施工内容另行招标或其他方式订约所开支的费用；</w:t>
      </w:r>
    </w:p>
    <w:p>
      <w:pPr>
        <w:snapToGrid w:val="0"/>
        <w:spacing w:line="360" w:lineRule="exact"/>
        <w:ind w:firstLine="440" w:firstLineChars="200"/>
        <w:rPr>
          <w:rFonts w:ascii="宋体" w:hAnsi="宋体" w:cs="宋体"/>
          <w:sz w:val="22"/>
        </w:rPr>
      </w:pPr>
      <w:r>
        <w:rPr>
          <w:rFonts w:hint="eastAsia" w:ascii="宋体" w:hAnsi="宋体" w:cs="宋体"/>
          <w:sz w:val="22"/>
        </w:rPr>
        <w:t>（3）因解除本合同后发包人委托其他承包人提供本合同项下的施工服务的，则其他承包人相应施工内容的合同价款高于与本合同相应价款的差额，本合同承包人应向发包人赔偿；</w:t>
      </w:r>
    </w:p>
    <w:p>
      <w:pPr>
        <w:snapToGrid w:val="0"/>
        <w:spacing w:line="360" w:lineRule="exact"/>
        <w:ind w:firstLine="440" w:firstLineChars="200"/>
        <w:rPr>
          <w:rFonts w:ascii="宋体" w:hAnsi="宋体" w:cs="宋体"/>
          <w:sz w:val="22"/>
        </w:rPr>
      </w:pPr>
      <w:r>
        <w:rPr>
          <w:rFonts w:hint="eastAsia" w:ascii="宋体" w:hAnsi="宋体" w:cs="宋体"/>
          <w:sz w:val="22"/>
        </w:rPr>
        <w:t>（4）赔偿发包人遭受的其他实际损失；</w:t>
      </w:r>
    </w:p>
    <w:p>
      <w:pPr>
        <w:snapToGrid w:val="0"/>
        <w:spacing w:line="360" w:lineRule="exact"/>
        <w:ind w:firstLine="440" w:firstLineChars="200"/>
        <w:rPr>
          <w:rFonts w:ascii="宋体" w:hAnsi="宋体" w:cs="宋体"/>
          <w:sz w:val="22"/>
        </w:rPr>
      </w:pPr>
      <w:r>
        <w:rPr>
          <w:rFonts w:hint="eastAsia" w:ascii="宋体" w:hAnsi="宋体" w:cs="宋体"/>
          <w:sz w:val="22"/>
        </w:rPr>
        <w:t>（5）在发包人指定期限内，无条件的向发包人所确定的其他承包人妥善移交本合同解除前形成的施工工作内容及一切相关文件资料，逾期移交的应向发包人支付本合同总价千分之一每一延误日的违约金。</w:t>
      </w:r>
    </w:p>
    <w:p>
      <w:pPr>
        <w:snapToGrid w:val="0"/>
        <w:spacing w:line="360" w:lineRule="exact"/>
        <w:ind w:firstLine="440" w:firstLineChars="200"/>
        <w:rPr>
          <w:rFonts w:ascii="宋体" w:hAnsi="宋体" w:cs="宋体"/>
          <w:sz w:val="22"/>
        </w:rPr>
      </w:pPr>
      <w:r>
        <w:rPr>
          <w:rFonts w:hint="eastAsia" w:ascii="宋体" w:hAnsi="宋体" w:cs="宋体"/>
          <w:sz w:val="22"/>
        </w:rPr>
        <w:t>22.1.10违约金条款的适用：就承包人同一违约情形，本合同各条款若约定了不同的违约金标准的，则从高确定承包人应付的违约金金额。承包人履行违约金支付义务的，并不免除其在本合同项下的其他义务和责任。承包人确认本合同关于违约金标准的约定合理且恰当。</w:t>
      </w:r>
    </w:p>
    <w:p>
      <w:pPr>
        <w:snapToGrid w:val="0"/>
        <w:spacing w:line="360" w:lineRule="exact"/>
        <w:rPr>
          <w:rFonts w:ascii="宋体" w:hAnsi="宋体" w:cs="宋体"/>
          <w:sz w:val="22"/>
        </w:rPr>
      </w:pPr>
      <w:r>
        <w:rPr>
          <w:rFonts w:hint="eastAsia" w:ascii="宋体" w:hAnsi="宋体" w:cs="宋体"/>
          <w:sz w:val="22"/>
        </w:rPr>
        <w:t>24．争议的解决</w:t>
      </w:r>
    </w:p>
    <w:p>
      <w:pPr>
        <w:snapToGrid w:val="0"/>
        <w:spacing w:line="360" w:lineRule="exact"/>
        <w:rPr>
          <w:rFonts w:ascii="宋体" w:hAnsi="宋体" w:cs="宋体"/>
          <w:sz w:val="22"/>
        </w:rPr>
      </w:pPr>
      <w:r>
        <w:rPr>
          <w:rFonts w:hint="eastAsia" w:ascii="宋体" w:hAnsi="宋体" w:cs="宋体"/>
          <w:sz w:val="22"/>
        </w:rPr>
        <w:t>24.1 争议的解决方式</w:t>
      </w:r>
    </w:p>
    <w:p>
      <w:pPr>
        <w:snapToGrid w:val="0"/>
        <w:spacing w:line="360" w:lineRule="exact"/>
        <w:ind w:firstLine="440" w:firstLineChars="200"/>
        <w:rPr>
          <w:rFonts w:ascii="宋体" w:hAnsi="宋体" w:cs="宋体"/>
          <w:sz w:val="22"/>
        </w:rPr>
      </w:pPr>
      <w:r>
        <w:rPr>
          <w:rFonts w:hint="eastAsia" w:ascii="宋体" w:hAnsi="宋体" w:cs="宋体"/>
          <w:sz w:val="22"/>
        </w:rPr>
        <w:t>双方约定，在履行合同过程中产生的争议时，可请工程所在地建设行政主管部门调解，协商不成的：向杭州仲裁委员会申请仲裁。</w:t>
      </w:r>
    </w:p>
    <w:p>
      <w:pPr>
        <w:snapToGrid w:val="0"/>
        <w:spacing w:line="360" w:lineRule="exact"/>
        <w:rPr>
          <w:rFonts w:ascii="宋体" w:hAnsi="宋体" w:cs="宋体"/>
          <w:sz w:val="22"/>
        </w:rPr>
      </w:pPr>
      <w:r>
        <w:rPr>
          <w:rFonts w:hint="eastAsia" w:ascii="宋体" w:hAnsi="宋体" w:cs="宋体"/>
          <w:sz w:val="22"/>
        </w:rPr>
        <w:t>25．其他补充条款</w:t>
      </w:r>
    </w:p>
    <w:p>
      <w:pPr>
        <w:snapToGrid w:val="0"/>
        <w:spacing w:line="360" w:lineRule="exact"/>
        <w:rPr>
          <w:rFonts w:ascii="宋体" w:hAnsi="宋体" w:cs="宋体"/>
          <w:sz w:val="22"/>
        </w:rPr>
      </w:pPr>
      <w:r>
        <w:rPr>
          <w:rFonts w:hint="eastAsia" w:ascii="宋体" w:hAnsi="宋体" w:cs="宋体"/>
          <w:sz w:val="22"/>
        </w:rPr>
        <w:t>25.1 投标文件的充分性</w:t>
      </w:r>
    </w:p>
    <w:p>
      <w:pPr>
        <w:snapToGrid w:val="0"/>
        <w:spacing w:line="360" w:lineRule="exact"/>
        <w:ind w:firstLine="440" w:firstLineChars="200"/>
        <w:rPr>
          <w:rFonts w:ascii="宋体" w:hAnsi="宋体" w:cs="宋体"/>
          <w:sz w:val="22"/>
        </w:rPr>
      </w:pPr>
      <w:r>
        <w:rPr>
          <w:rFonts w:hint="eastAsia" w:ascii="宋体" w:hAnsi="宋体" w:cs="宋体"/>
          <w:sz w:val="22"/>
        </w:rPr>
        <w:t>承包人已经认真研究了发包人提供的合同文件，对任何有可能存在的问题已经得到发包人的澄清和解答，并对由合同文件所定义的承包人合同工作内容达到彻底和充分的理解，并已将这种理解全部反映到承包人的投标文件中。</w:t>
      </w:r>
    </w:p>
    <w:p>
      <w:pPr>
        <w:snapToGrid w:val="0"/>
        <w:spacing w:line="360" w:lineRule="exact"/>
        <w:rPr>
          <w:rFonts w:ascii="宋体" w:hAnsi="宋体" w:cs="宋体"/>
          <w:sz w:val="22"/>
        </w:rPr>
      </w:pPr>
      <w:r>
        <w:rPr>
          <w:rFonts w:hint="eastAsia" w:ascii="宋体" w:hAnsi="宋体" w:cs="宋体"/>
          <w:sz w:val="22"/>
        </w:rPr>
        <w:t>25.2 承包人确认其提交的投标文件以及工程量清单中开列的各项价格的正确性和充分性。除非合同另有约定，承包人提交的投标文件以及工程量清单中开列的各项价格已经全面、充分地体现和覆盖了：</w:t>
      </w:r>
    </w:p>
    <w:p>
      <w:pPr>
        <w:snapToGrid w:val="0"/>
        <w:spacing w:line="360" w:lineRule="exact"/>
        <w:ind w:firstLine="440" w:firstLineChars="200"/>
        <w:rPr>
          <w:rFonts w:ascii="宋体" w:hAnsi="宋体" w:cs="宋体"/>
          <w:sz w:val="22"/>
        </w:rPr>
      </w:pPr>
      <w:r>
        <w:rPr>
          <w:rFonts w:hint="eastAsia" w:ascii="宋体" w:hAnsi="宋体" w:cs="宋体"/>
          <w:sz w:val="22"/>
        </w:rPr>
        <w:t>（1） 承包人根据合同应承担的全部义务；</w:t>
      </w:r>
    </w:p>
    <w:p>
      <w:pPr>
        <w:snapToGrid w:val="0"/>
        <w:spacing w:line="360" w:lineRule="exact"/>
        <w:ind w:firstLine="440" w:firstLineChars="200"/>
        <w:rPr>
          <w:rFonts w:ascii="宋体" w:hAnsi="宋体" w:cs="宋体"/>
          <w:sz w:val="22"/>
        </w:rPr>
      </w:pPr>
      <w:r>
        <w:rPr>
          <w:rFonts w:hint="eastAsia" w:ascii="宋体" w:hAnsi="宋体" w:cs="宋体"/>
          <w:sz w:val="22"/>
        </w:rPr>
        <w:t>（2） 为该工程的正确实施、竣工后修补由于承包人原因造成的缺陷所必须发生的一切开支。</w:t>
      </w:r>
    </w:p>
    <w:p>
      <w:pPr>
        <w:snapToGrid w:val="0"/>
        <w:spacing w:line="360" w:lineRule="exact"/>
        <w:rPr>
          <w:rFonts w:ascii="宋体" w:hAnsi="宋体" w:cs="宋体"/>
          <w:sz w:val="22"/>
        </w:rPr>
      </w:pPr>
      <w:r>
        <w:rPr>
          <w:rFonts w:hint="eastAsia" w:ascii="宋体" w:hAnsi="宋体" w:cs="宋体"/>
          <w:sz w:val="22"/>
        </w:rPr>
        <w:t>25.3 本工程联系单签证均以发包人公章为准，未加盖发包人公章的均为无效签证。</w:t>
      </w:r>
    </w:p>
    <w:p>
      <w:pPr>
        <w:snapToGrid w:val="0"/>
        <w:spacing w:line="360" w:lineRule="exact"/>
        <w:rPr>
          <w:rFonts w:ascii="宋体" w:hAnsi="宋体" w:cs="宋体"/>
          <w:sz w:val="22"/>
        </w:rPr>
      </w:pPr>
      <w:r>
        <w:rPr>
          <w:rFonts w:hint="eastAsia" w:ascii="宋体" w:hAnsi="宋体" w:cs="宋体"/>
          <w:sz w:val="22"/>
        </w:rPr>
        <w:t>25.4 凡涉及设计变更需设计院出具联系单或施工图的，承包人必须经发包人授权方可与设计院联系，承包人不得与设计院单向联系，否则该设计签证无效。</w:t>
      </w:r>
    </w:p>
    <w:p>
      <w:pPr>
        <w:snapToGrid w:val="0"/>
        <w:spacing w:line="360" w:lineRule="exact"/>
        <w:rPr>
          <w:rFonts w:ascii="宋体" w:hAnsi="宋体" w:cs="宋体"/>
          <w:sz w:val="22"/>
        </w:rPr>
      </w:pPr>
      <w:r>
        <w:rPr>
          <w:rFonts w:hint="eastAsia" w:ascii="宋体" w:hAnsi="宋体" w:cs="宋体"/>
          <w:sz w:val="22"/>
        </w:rPr>
        <w:t>25.5本工程须注意以下事项：</w:t>
      </w:r>
    </w:p>
    <w:p>
      <w:pPr>
        <w:snapToGrid w:val="0"/>
        <w:spacing w:line="360" w:lineRule="exact"/>
        <w:ind w:firstLine="440" w:firstLineChars="200"/>
        <w:rPr>
          <w:rFonts w:ascii="宋体" w:hAnsi="宋体" w:cs="宋体"/>
          <w:sz w:val="22"/>
        </w:rPr>
      </w:pPr>
      <w:r>
        <w:rPr>
          <w:rFonts w:hint="eastAsia" w:ascii="宋体" w:hAnsi="宋体" w:cs="宋体"/>
          <w:sz w:val="22"/>
        </w:rPr>
        <w:t>（1）与承包人签订《杭州萧山国际机场安全文明施工协议书》；</w:t>
      </w:r>
    </w:p>
    <w:p>
      <w:pPr>
        <w:snapToGrid w:val="0"/>
        <w:spacing w:line="360" w:lineRule="exact"/>
        <w:ind w:firstLine="440" w:firstLineChars="200"/>
        <w:rPr>
          <w:rFonts w:ascii="宋体" w:hAnsi="宋体" w:cs="宋体"/>
          <w:sz w:val="22"/>
        </w:rPr>
      </w:pPr>
      <w:r>
        <w:rPr>
          <w:rFonts w:hint="eastAsia" w:ascii="宋体" w:hAnsi="宋体" w:cs="宋体"/>
          <w:sz w:val="22"/>
        </w:rPr>
        <w:t>（2）承包人应严格按“杭州市文明标化工地”的要求组织施工；</w:t>
      </w:r>
    </w:p>
    <w:p>
      <w:pPr>
        <w:snapToGrid w:val="0"/>
        <w:spacing w:line="360" w:lineRule="exact"/>
        <w:ind w:firstLine="440" w:firstLineChars="200"/>
        <w:rPr>
          <w:rFonts w:ascii="宋体" w:hAnsi="宋体" w:cs="宋体"/>
          <w:sz w:val="22"/>
        </w:rPr>
      </w:pPr>
      <w:r>
        <w:rPr>
          <w:rFonts w:hint="eastAsia" w:ascii="宋体" w:hAnsi="宋体" w:cs="宋体"/>
          <w:sz w:val="22"/>
        </w:rPr>
        <w:t>（3）工程质量目标须无条件满足招标人的总体质量目标；</w:t>
      </w:r>
    </w:p>
    <w:p>
      <w:pPr>
        <w:snapToGrid w:val="0"/>
        <w:spacing w:line="360" w:lineRule="exact"/>
        <w:ind w:firstLine="440" w:firstLineChars="200"/>
        <w:rPr>
          <w:rFonts w:ascii="宋体" w:hAnsi="宋体" w:cs="宋体"/>
          <w:sz w:val="22"/>
        </w:rPr>
      </w:pPr>
      <w:r>
        <w:rPr>
          <w:rFonts w:hint="eastAsia" w:ascii="宋体" w:hAnsi="宋体" w:cs="宋体"/>
          <w:sz w:val="22"/>
        </w:rPr>
        <w:t>（4）按工程总进度计划安排施工；</w:t>
      </w:r>
    </w:p>
    <w:p>
      <w:pPr>
        <w:snapToGrid w:val="0"/>
        <w:spacing w:line="360" w:lineRule="exact"/>
        <w:ind w:firstLine="440" w:firstLineChars="200"/>
        <w:rPr>
          <w:rFonts w:ascii="宋体" w:hAnsi="宋体" w:cs="宋体"/>
          <w:sz w:val="22"/>
        </w:rPr>
      </w:pPr>
      <w:r>
        <w:rPr>
          <w:rFonts w:hint="eastAsia" w:ascii="宋体" w:hAnsi="宋体" w:cs="宋体"/>
          <w:sz w:val="22"/>
        </w:rPr>
        <w:t>（5）承包人如需在场内搭建临设，必须征得发包人同意，并在发包人指定地点搭建；</w:t>
      </w:r>
    </w:p>
    <w:p>
      <w:pPr>
        <w:snapToGrid w:val="0"/>
        <w:spacing w:line="360" w:lineRule="exact"/>
        <w:ind w:firstLine="440" w:firstLineChars="200"/>
        <w:rPr>
          <w:rFonts w:ascii="宋体" w:hAnsi="宋体" w:cs="宋体"/>
          <w:sz w:val="22"/>
        </w:rPr>
      </w:pPr>
      <w:r>
        <w:rPr>
          <w:rFonts w:hint="eastAsia" w:ascii="宋体" w:hAnsi="宋体" w:cs="宋体"/>
          <w:sz w:val="22"/>
        </w:rPr>
        <w:t>（6）发包人负责提供水、电源接入点，水电费用由承包人承担；</w:t>
      </w:r>
    </w:p>
    <w:p>
      <w:pPr>
        <w:snapToGrid w:val="0"/>
        <w:spacing w:line="360" w:lineRule="exact"/>
        <w:rPr>
          <w:rFonts w:ascii="宋体" w:hAnsi="宋体" w:cs="宋体"/>
          <w:sz w:val="22"/>
        </w:rPr>
      </w:pPr>
      <w:r>
        <w:rPr>
          <w:rFonts w:hint="eastAsia" w:ascii="宋体" w:hAnsi="宋体" w:cs="宋体"/>
          <w:sz w:val="22"/>
        </w:rPr>
        <w:t>25.6工程、设计变更及现场签证管理按有关文件执行。</w:t>
      </w:r>
    </w:p>
    <w:p>
      <w:pPr>
        <w:snapToGrid w:val="0"/>
        <w:spacing w:line="360" w:lineRule="exact"/>
        <w:rPr>
          <w:rFonts w:ascii="宋体" w:hAnsi="宋体" w:cs="宋体"/>
          <w:sz w:val="22"/>
        </w:rPr>
      </w:pPr>
      <w:r>
        <w:rPr>
          <w:rFonts w:hint="eastAsia" w:ascii="宋体" w:hAnsi="宋体" w:cs="宋体"/>
          <w:sz w:val="22"/>
        </w:rPr>
        <w:t>25.7双方同意，若对本工程质量有争议，则由发包人指定的鉴定机构鉴定，鉴定费用由造成质量瑕疵的责任方承担。</w:t>
      </w:r>
    </w:p>
    <w:p>
      <w:pPr>
        <w:snapToGrid w:val="0"/>
        <w:spacing w:line="360" w:lineRule="exact"/>
        <w:rPr>
          <w:rFonts w:ascii="宋体" w:hAnsi="宋体" w:cs="宋体"/>
          <w:sz w:val="22"/>
        </w:rPr>
      </w:pPr>
      <w:r>
        <w:rPr>
          <w:rFonts w:hint="eastAsia" w:ascii="宋体" w:hAnsi="宋体" w:cs="宋体"/>
          <w:sz w:val="22"/>
        </w:rPr>
        <w:t>25.8本合同于签订后，发现存在以下情形之一的，发包人有权解除本合同：</w:t>
      </w:r>
    </w:p>
    <w:p>
      <w:pPr>
        <w:snapToGrid w:val="0"/>
        <w:spacing w:line="360" w:lineRule="exact"/>
        <w:ind w:firstLine="440" w:firstLineChars="200"/>
        <w:rPr>
          <w:rFonts w:ascii="宋体" w:hAnsi="宋体" w:cs="宋体"/>
          <w:sz w:val="22"/>
        </w:rPr>
      </w:pPr>
      <w:r>
        <w:rPr>
          <w:rFonts w:hint="eastAsia" w:ascii="宋体" w:hAnsi="宋体" w:cs="宋体"/>
          <w:sz w:val="22"/>
        </w:rPr>
        <w:t>（1）本合同签订前的招标投标过程中未发现的错误，可能导致承包人潜在获利，而承包人在接到发包人对本合同的相应修正要求后，在发包人指定的期限内拒绝按要求予以修正的；</w:t>
      </w:r>
    </w:p>
    <w:p>
      <w:pPr>
        <w:snapToGrid w:val="0"/>
        <w:spacing w:line="360" w:lineRule="exact"/>
        <w:ind w:firstLine="440" w:firstLineChars="200"/>
        <w:rPr>
          <w:rFonts w:ascii="宋体" w:hAnsi="宋体" w:cs="宋体"/>
          <w:sz w:val="22"/>
        </w:rPr>
      </w:pPr>
      <w:r>
        <w:rPr>
          <w:rFonts w:hint="eastAsia" w:ascii="宋体" w:hAnsi="宋体" w:cs="宋体"/>
          <w:sz w:val="22"/>
        </w:rPr>
        <w:t>（2）承包人实施出借或借用他人资质；在投标中实施虚假承诺、隐瞒或虚构事实等弄虚作假行为；有串通投标；向招标人或评标委员会成员行贿等不正当行为；</w:t>
      </w:r>
    </w:p>
    <w:p>
      <w:pPr>
        <w:snapToGrid w:val="0"/>
        <w:spacing w:line="360" w:lineRule="exact"/>
        <w:ind w:firstLine="440" w:firstLineChars="200"/>
        <w:rPr>
          <w:rFonts w:ascii="宋体" w:hAnsi="宋体" w:cs="宋体"/>
          <w:sz w:val="22"/>
        </w:rPr>
      </w:pPr>
      <w:r>
        <w:rPr>
          <w:rFonts w:hint="eastAsia" w:ascii="宋体" w:hAnsi="宋体" w:cs="宋体"/>
          <w:sz w:val="22"/>
        </w:rPr>
        <w:t>（3）承包人在2009年1月1日后承建的施工工程中存在较大生产安全事故的（较大生产安全事故的认定以国务院493号令为准）；</w:t>
      </w:r>
    </w:p>
    <w:p>
      <w:pPr>
        <w:snapToGrid w:val="0"/>
        <w:spacing w:line="360" w:lineRule="exact"/>
        <w:ind w:firstLine="440" w:firstLineChars="200"/>
        <w:rPr>
          <w:rFonts w:ascii="宋体" w:hAnsi="宋体" w:cs="宋体"/>
          <w:sz w:val="22"/>
        </w:rPr>
      </w:pPr>
      <w:r>
        <w:rPr>
          <w:rFonts w:hint="eastAsia" w:ascii="宋体" w:hAnsi="宋体" w:cs="宋体"/>
          <w:sz w:val="22"/>
        </w:rPr>
        <w:t>（4）承包人存在集体性（10人以上）的内部劳动人事纠纷、股东（产权人）或资产纠纷、偿债危机等经营变故，且发包人认为该等情形对承包人是否能全面履行投标承诺存在重大不确定性的；</w:t>
      </w:r>
    </w:p>
    <w:p>
      <w:pPr>
        <w:snapToGrid w:val="0"/>
        <w:spacing w:line="360" w:lineRule="exact"/>
        <w:ind w:firstLine="440" w:firstLineChars="200"/>
        <w:rPr>
          <w:rFonts w:ascii="宋体" w:hAnsi="宋体" w:cs="宋体"/>
          <w:sz w:val="22"/>
        </w:rPr>
      </w:pPr>
      <w:r>
        <w:rPr>
          <w:rFonts w:hint="eastAsia" w:ascii="宋体" w:hAnsi="宋体" w:cs="宋体"/>
          <w:sz w:val="22"/>
        </w:rPr>
        <w:t>（5）承包人正处于或将面临重大诉讼、仲裁，且发包人认为该等情形对承包人是否能全面履行投标承诺存在重大不确定性的；</w:t>
      </w:r>
    </w:p>
    <w:p>
      <w:pPr>
        <w:snapToGrid w:val="0"/>
        <w:spacing w:line="360" w:lineRule="exact"/>
        <w:ind w:firstLine="440" w:firstLineChars="200"/>
        <w:rPr>
          <w:rFonts w:ascii="宋体" w:hAnsi="宋体" w:cs="宋体"/>
          <w:sz w:val="22"/>
        </w:rPr>
      </w:pPr>
      <w:r>
        <w:rPr>
          <w:rFonts w:hint="eastAsia" w:ascii="宋体" w:hAnsi="宋体" w:cs="宋体"/>
          <w:sz w:val="22"/>
        </w:rPr>
        <w:t>（6）承包人与本工程相关的应有资格、资质、认证或其他行政许可已被终止、中止或暂扣的；</w:t>
      </w:r>
    </w:p>
    <w:p>
      <w:pPr>
        <w:snapToGrid w:val="0"/>
        <w:spacing w:line="360" w:lineRule="exact"/>
        <w:ind w:firstLine="440" w:firstLineChars="200"/>
        <w:rPr>
          <w:rFonts w:ascii="宋体" w:hAnsi="宋体" w:cs="宋体"/>
          <w:sz w:val="22"/>
        </w:rPr>
      </w:pPr>
      <w:r>
        <w:rPr>
          <w:rFonts w:hint="eastAsia" w:ascii="宋体" w:hAnsi="宋体" w:cs="宋体"/>
          <w:sz w:val="22"/>
        </w:rPr>
        <w:t>（7）中标项目经理或项目技术负责人在任其他在建工程且未在发包人限定的时间内办妥退出其他在建工程任职手续的。</w:t>
      </w:r>
    </w:p>
    <w:p>
      <w:pPr>
        <w:snapToGrid w:val="0"/>
        <w:spacing w:line="360" w:lineRule="exact"/>
        <w:ind w:firstLine="440" w:firstLineChars="200"/>
        <w:rPr>
          <w:rFonts w:ascii="宋体" w:hAnsi="宋体" w:cs="宋体"/>
          <w:sz w:val="22"/>
        </w:rPr>
      </w:pPr>
      <w:r>
        <w:rPr>
          <w:rFonts w:hint="eastAsia" w:ascii="宋体" w:hAnsi="宋体" w:cs="宋体"/>
          <w:sz w:val="22"/>
        </w:rPr>
        <w:t>对发包人按前述约定而解除本合同的，承包人均予以接受并同意放弃和豁免招标人因此而可能对投标人造成的现实和有损害的任何赔偿、补偿责任；承包人因前述情形而导致本工程停工、窝工、发生质量、安全事故等，造成发包人损害的，应承担全部责任，赔偿发包人的全部损失。</w:t>
      </w:r>
    </w:p>
    <w:p>
      <w:pPr>
        <w:snapToGrid w:val="0"/>
        <w:spacing w:line="360" w:lineRule="exact"/>
        <w:ind w:firstLine="440" w:firstLineChars="200"/>
        <w:rPr>
          <w:rFonts w:ascii="宋体" w:hAnsi="宋体" w:cs="宋体"/>
          <w:sz w:val="22"/>
        </w:rPr>
      </w:pPr>
      <w:r>
        <w:rPr>
          <w:rFonts w:hint="eastAsia" w:ascii="宋体" w:hAnsi="宋体" w:cs="宋体"/>
          <w:sz w:val="22"/>
        </w:rPr>
        <w:t>一旦发包人所需，承包人应按发包人的要求补充提供发包人所要求的有关资料，配合发包人所要求的调查；有关资料或调查涉及承包人商业秘密的，发包人知悉该等商业秘密后应予严格保密；有关资料或调查涉及国家机密而依法不得向发包人公开的，承包人应向发包人提供履行国家机密监管、保障职责的有关行政主管部门的书面证明或意见。</w:t>
      </w:r>
    </w:p>
    <w:p>
      <w:pPr>
        <w:snapToGrid w:val="0"/>
        <w:spacing w:line="360" w:lineRule="exact"/>
        <w:rPr>
          <w:rFonts w:ascii="宋体" w:hAnsi="宋体" w:cs="宋体"/>
          <w:sz w:val="22"/>
        </w:rPr>
      </w:pPr>
      <w:r>
        <w:rPr>
          <w:rFonts w:hint="eastAsia" w:ascii="宋体" w:hAnsi="宋体" w:cs="宋体"/>
          <w:sz w:val="22"/>
        </w:rPr>
        <w:t>25.9承包人及其人员在签订和履行本合同中所知悉的发包人商业秘密，应予严格保密。</w:t>
      </w:r>
    </w:p>
    <w:p>
      <w:pPr>
        <w:snapToGrid w:val="0"/>
        <w:spacing w:line="360" w:lineRule="exact"/>
        <w:rPr>
          <w:rFonts w:ascii="宋体" w:hAnsi="宋体" w:cs="宋体"/>
          <w:sz w:val="22"/>
        </w:rPr>
      </w:pPr>
      <w:r>
        <w:rPr>
          <w:rFonts w:hint="eastAsia" w:ascii="宋体" w:hAnsi="宋体" w:cs="宋体"/>
          <w:sz w:val="22"/>
        </w:rPr>
        <w:t>25.10本合同履行期间，对于发包人提出的现场管理整改意见（包括于发包人现场巡查会提出的或是其他另行单独提出的管理和整改意见），承包人应在该等管理整改要求所指定的期限内实际完成整改并向发包人呈报书面的管理整改状况；承包人未能履行本约定且未书面提出令发包人接受的正当理由的，发包人有权比照本合同所约定的履约保证金的部分或全部金额，在当月应付承包人的进度款中予以直接扣减并无须另行支付。</w:t>
      </w:r>
    </w:p>
    <w:p>
      <w:pPr>
        <w:snapToGrid w:val="0"/>
        <w:spacing w:line="360" w:lineRule="exact"/>
        <w:rPr>
          <w:rFonts w:ascii="宋体" w:hAnsi="宋体" w:cs="宋体"/>
          <w:sz w:val="22"/>
        </w:rPr>
      </w:pPr>
      <w:r>
        <w:rPr>
          <w:rFonts w:hint="eastAsia" w:ascii="宋体" w:hAnsi="宋体" w:cs="宋体"/>
          <w:sz w:val="22"/>
        </w:rPr>
        <w:t>25.11双方确认，通用条款第23.4款关于发包人提出索赔的期限要求不被被合同所采纳与适用，发包人的索赔权利不受该等时限的限制。</w:t>
      </w:r>
    </w:p>
    <w:p>
      <w:pPr>
        <w:snapToGrid w:val="0"/>
        <w:spacing w:line="360" w:lineRule="exact"/>
        <w:rPr>
          <w:rFonts w:ascii="宋体" w:hAnsi="宋体" w:cs="宋体"/>
          <w:sz w:val="22"/>
        </w:rPr>
      </w:pPr>
      <w:r>
        <w:rPr>
          <w:rFonts w:hint="eastAsia" w:ascii="宋体" w:hAnsi="宋体" w:cs="宋体"/>
          <w:sz w:val="22"/>
        </w:rPr>
        <w:t>25.12承包人进场后应服从发包人的监督和管理。</w:t>
      </w:r>
    </w:p>
    <w:p>
      <w:pPr>
        <w:snapToGrid w:val="0"/>
        <w:spacing w:line="360" w:lineRule="exact"/>
        <w:rPr>
          <w:rFonts w:ascii="宋体" w:hAnsi="宋体" w:cs="宋体"/>
          <w:sz w:val="22"/>
        </w:rPr>
      </w:pPr>
      <w:r>
        <w:rPr>
          <w:rFonts w:hint="eastAsia" w:ascii="宋体" w:hAnsi="宋体" w:cs="宋体"/>
          <w:sz w:val="22"/>
        </w:rPr>
        <w:t>25.13承包人进场后应签订《工程质量保修书》（附件一）、和《安全文明施工协议书》（附件二），服从发包人的监督和管理。</w:t>
      </w:r>
    </w:p>
    <w:p>
      <w:pPr>
        <w:snapToGrid w:val="0"/>
        <w:spacing w:line="360" w:lineRule="exact"/>
        <w:rPr>
          <w:rFonts w:ascii="宋体" w:hAnsi="宋体" w:cs="宋体"/>
          <w:sz w:val="22"/>
        </w:rPr>
      </w:pPr>
      <w:r>
        <w:rPr>
          <w:rFonts w:hint="eastAsia" w:ascii="宋体" w:hAnsi="宋体" w:cs="宋体"/>
          <w:sz w:val="22"/>
        </w:rPr>
        <w:t>25.14施工及生活用水：承包人施工前需向机场水电管理部门提出申请，由发包人与承包人根据现场施工内容及情况测算合理收费。水费按照自来水公司水价4.4元</w:t>
      </w:r>
      <w:r>
        <w:rPr>
          <w:rFonts w:ascii="宋体" w:hAnsi="宋体" w:cs="宋体"/>
          <w:sz w:val="22"/>
        </w:rPr>
        <w:t>/</w:t>
      </w:r>
      <w:r>
        <w:rPr>
          <w:rFonts w:hint="eastAsia" w:ascii="宋体" w:hAnsi="宋体" w:cs="宋体"/>
          <w:sz w:val="22"/>
        </w:rPr>
        <w:t>吨为基础单价，并在基础单价上加收30%的水费转供设施维护费（加收部分主要是损耗、运行维护、维修费等），如自来水公司水价调整，水费单价也作相应的调整，收取的3</w:t>
      </w:r>
      <w:r>
        <w:rPr>
          <w:rFonts w:ascii="宋体" w:hAnsi="宋体" w:cs="宋体"/>
          <w:sz w:val="22"/>
        </w:rPr>
        <w:t>0</w:t>
      </w:r>
      <w:r>
        <w:rPr>
          <w:rFonts w:hint="eastAsia" w:ascii="宋体" w:hAnsi="宋体" w:cs="宋体"/>
          <w:sz w:val="22"/>
        </w:rPr>
        <w:t>％费率不变，收费单价保留小数点后两位，四舍五入，用水计量以机场水电管理部门计量为准。</w:t>
      </w:r>
    </w:p>
    <w:p>
      <w:pPr>
        <w:snapToGrid w:val="0"/>
        <w:spacing w:line="360" w:lineRule="exact"/>
        <w:rPr>
          <w:rFonts w:ascii="宋体" w:hAnsi="宋体" w:cs="宋体"/>
          <w:sz w:val="22"/>
        </w:rPr>
      </w:pPr>
      <w:r>
        <w:rPr>
          <w:rFonts w:hint="eastAsia" w:ascii="宋体" w:hAnsi="宋体" w:cs="宋体"/>
          <w:sz w:val="22"/>
        </w:rPr>
        <w:t>25.15施工用电：承包人施工前需向机场水电管理部门提出申请，由发包人与承包人根据现场施工内容及情况测算合理收费。电费按照供电局电价0.7126元</w:t>
      </w:r>
      <w:r>
        <w:rPr>
          <w:rFonts w:ascii="宋体" w:hAnsi="宋体" w:cs="宋体"/>
          <w:sz w:val="22"/>
        </w:rPr>
        <w:t>/</w:t>
      </w:r>
      <w:r>
        <w:rPr>
          <w:rFonts w:hint="eastAsia" w:ascii="宋体" w:hAnsi="宋体" w:cs="宋体"/>
          <w:sz w:val="22"/>
        </w:rPr>
        <w:t>度为基础单价，并在基础单价上加收20%电费转供设施维护费（加收部分主要是损耗、运行维护、维修费等），如供电局电价调整，电费单价也作相应的调整，收取的</w:t>
      </w:r>
      <w:r>
        <w:rPr>
          <w:rFonts w:ascii="宋体" w:hAnsi="宋体" w:cs="宋体"/>
          <w:sz w:val="22"/>
        </w:rPr>
        <w:t>20</w:t>
      </w:r>
      <w:r>
        <w:rPr>
          <w:rFonts w:hint="eastAsia" w:ascii="宋体" w:hAnsi="宋体" w:cs="宋体"/>
          <w:sz w:val="22"/>
        </w:rPr>
        <w:t>％费率不变，收费单价保留小数点后两位，四舍五入，用电计量以机场水电管理部门计量为准。</w:t>
      </w:r>
    </w:p>
    <w:p>
      <w:pPr>
        <w:snapToGrid w:val="0"/>
        <w:spacing w:line="360" w:lineRule="exact"/>
        <w:ind w:firstLine="440" w:firstLineChars="200"/>
        <w:rPr>
          <w:rFonts w:ascii="宋体" w:hAnsi="宋体" w:cs="宋体"/>
          <w:sz w:val="22"/>
        </w:rPr>
      </w:pPr>
      <w:r>
        <w:rPr>
          <w:rFonts w:hint="eastAsia" w:ascii="宋体" w:hAnsi="宋体" w:cs="宋体"/>
          <w:sz w:val="22"/>
        </w:rPr>
        <w:t>乙方在收到水电费通知单后7日内按通知单金额支付费用，机场公司在确认收到费用后开具增值税专用发票。乙方未能如期交缴的，机场公司有权按费用通知单规定要求乙方承担违约责任。机场公司缴款信息，户名：杭州萧山国际机场有限公司；开户行：建行杭州航空港支行；账号： 33001616181050000161。</w:t>
      </w:r>
    </w:p>
    <w:p>
      <w:pPr>
        <w:snapToGrid w:val="0"/>
        <w:spacing w:line="360" w:lineRule="exact"/>
        <w:rPr>
          <w:rFonts w:ascii="宋体" w:hAnsi="宋体" w:cs="宋体"/>
          <w:sz w:val="22"/>
        </w:rPr>
      </w:pPr>
      <w:r>
        <w:rPr>
          <w:rFonts w:hint="eastAsia" w:ascii="宋体" w:hAnsi="宋体" w:cs="宋体"/>
          <w:sz w:val="22"/>
        </w:rPr>
        <w:t>25.16合同份数：一式陆份，甲方执肆份，乙方执贰份，同等有效。</w:t>
      </w:r>
    </w:p>
    <w:p>
      <w:pPr>
        <w:snapToGrid w:val="0"/>
        <w:spacing w:line="360" w:lineRule="exact"/>
        <w:rPr>
          <w:rFonts w:ascii="宋体" w:hAnsi="宋体" w:cs="宋体"/>
          <w:sz w:val="22"/>
        </w:rPr>
      </w:pPr>
      <w:r>
        <w:rPr>
          <w:rFonts w:hint="eastAsia" w:ascii="宋体" w:hAnsi="宋体" w:cs="宋体"/>
          <w:sz w:val="22"/>
        </w:rPr>
        <w:t>25.17附件：</w:t>
      </w:r>
    </w:p>
    <w:p>
      <w:pPr>
        <w:snapToGrid w:val="0"/>
        <w:spacing w:line="360" w:lineRule="exact"/>
        <w:ind w:firstLine="440" w:firstLineChars="200"/>
        <w:rPr>
          <w:rFonts w:ascii="宋体" w:hAnsi="宋体" w:cs="宋体"/>
          <w:sz w:val="22"/>
        </w:rPr>
      </w:pPr>
      <w:r>
        <w:rPr>
          <w:rFonts w:hint="eastAsia" w:ascii="宋体" w:hAnsi="宋体" w:cs="宋体"/>
          <w:sz w:val="22"/>
        </w:rPr>
        <w:t xml:space="preserve">附件一：工程质量保修书 </w:t>
      </w:r>
    </w:p>
    <w:p>
      <w:pPr>
        <w:snapToGrid w:val="0"/>
        <w:spacing w:line="360" w:lineRule="exact"/>
        <w:ind w:firstLine="440" w:firstLineChars="200"/>
        <w:rPr>
          <w:rFonts w:ascii="宋体" w:hAnsi="宋体" w:cs="宋体"/>
          <w:sz w:val="22"/>
        </w:rPr>
      </w:pPr>
      <w:r>
        <w:rPr>
          <w:rFonts w:hint="eastAsia" w:ascii="宋体" w:hAnsi="宋体" w:cs="宋体"/>
          <w:sz w:val="22"/>
        </w:rPr>
        <w:t>附件二：安全文明施工协议书</w:t>
      </w:r>
    </w:p>
    <w:p>
      <w:pPr>
        <w:snapToGrid w:val="0"/>
        <w:spacing w:line="360" w:lineRule="exact"/>
        <w:ind w:firstLine="440" w:firstLineChars="200"/>
        <w:rPr>
          <w:rFonts w:ascii="宋体" w:hAnsi="宋体" w:cs="宋体"/>
          <w:sz w:val="22"/>
        </w:rPr>
      </w:pPr>
      <w:r>
        <w:rPr>
          <w:rFonts w:hint="eastAsia" w:ascii="宋体" w:hAnsi="宋体" w:cs="宋体"/>
          <w:sz w:val="22"/>
        </w:rPr>
        <w:t>附件三：廉洁自律承诺书</w:t>
      </w:r>
    </w:p>
    <w:p>
      <w:pPr>
        <w:tabs>
          <w:tab w:val="left" w:pos="540"/>
        </w:tabs>
        <w:topLinePunct/>
        <w:rPr>
          <w:rFonts w:ascii="宋体" w:hAnsi="宋体" w:cs="宋体"/>
        </w:rPr>
      </w:pPr>
      <w:r>
        <w:rPr>
          <w:rFonts w:hint="eastAsia" w:ascii="宋体" w:hAnsi="宋体" w:cs="宋体"/>
        </w:rPr>
        <w:br w:type="page"/>
      </w:r>
      <w:r>
        <w:rPr>
          <w:rFonts w:hint="eastAsia" w:ascii="宋体" w:hAnsi="宋体" w:cs="宋体"/>
        </w:rPr>
        <w:t>附件一</w:t>
      </w:r>
    </w:p>
    <w:p>
      <w:pPr>
        <w:tabs>
          <w:tab w:val="left" w:pos="540"/>
        </w:tabs>
        <w:topLinePunct/>
        <w:ind w:firstLine="723"/>
        <w:jc w:val="center"/>
        <w:rPr>
          <w:rFonts w:ascii="宋体" w:hAnsi="宋体" w:cs="宋体"/>
          <w:b/>
          <w:sz w:val="36"/>
        </w:rPr>
      </w:pPr>
      <w:r>
        <w:rPr>
          <w:rFonts w:hint="eastAsia" w:ascii="宋体" w:hAnsi="宋体" w:cs="宋体"/>
          <w:b/>
          <w:sz w:val="36"/>
        </w:rPr>
        <w:t>工程质量保修书</w:t>
      </w:r>
    </w:p>
    <w:p>
      <w:pPr>
        <w:spacing w:line="340" w:lineRule="exact"/>
        <w:rPr>
          <w:rFonts w:ascii="宋体" w:hAnsi="宋体" w:cs="宋体"/>
          <w:sz w:val="22"/>
        </w:rPr>
      </w:pPr>
      <w:r>
        <w:rPr>
          <w:rFonts w:hint="eastAsia" w:ascii="宋体" w:hAnsi="宋体" w:cs="宋体"/>
          <w:sz w:val="22"/>
        </w:rPr>
        <w:t xml:space="preserve">发包人（全称）：                      </w:t>
      </w:r>
    </w:p>
    <w:p>
      <w:pPr>
        <w:spacing w:line="340" w:lineRule="exact"/>
        <w:rPr>
          <w:rFonts w:ascii="宋体" w:hAnsi="宋体" w:cs="宋体"/>
          <w:sz w:val="22"/>
        </w:rPr>
      </w:pPr>
      <w:r>
        <w:rPr>
          <w:rFonts w:hint="eastAsia" w:ascii="宋体" w:hAnsi="宋体" w:cs="宋体"/>
          <w:sz w:val="22"/>
        </w:rPr>
        <w:t xml:space="preserve">承包人（全称）：                                 </w:t>
      </w:r>
    </w:p>
    <w:p>
      <w:pPr>
        <w:spacing w:line="340" w:lineRule="exact"/>
        <w:rPr>
          <w:rFonts w:ascii="宋体" w:hAnsi="宋体" w:cs="宋体"/>
          <w:sz w:val="22"/>
        </w:rPr>
      </w:pPr>
      <w:r>
        <w:rPr>
          <w:rFonts w:hint="eastAsia" w:ascii="宋体" w:hAnsi="宋体" w:cs="宋体"/>
          <w:sz w:val="22"/>
        </w:rPr>
        <w:t xml:space="preserve">    发包人和承包人根据《中华人民共和国建筑法》和《建设工程质量管理条例》，经协商一致就</w:t>
      </w:r>
      <w:r>
        <w:rPr>
          <w:rFonts w:hint="eastAsia" w:ascii="宋体" w:hAnsi="宋体" w:cs="宋体"/>
          <w:b/>
          <w:sz w:val="22"/>
          <w:u w:val="single"/>
        </w:rPr>
        <w:t>药品仓储基地3#库屋面维修项目工程</w:t>
      </w:r>
      <w:r>
        <w:rPr>
          <w:rFonts w:hint="eastAsia" w:ascii="宋体" w:hAnsi="宋体" w:cs="宋体"/>
          <w:sz w:val="22"/>
        </w:rPr>
        <w:t>（工程全称）签订工程质量保修书。</w:t>
      </w:r>
    </w:p>
    <w:p>
      <w:pPr>
        <w:spacing w:line="340" w:lineRule="exact"/>
        <w:rPr>
          <w:rFonts w:ascii="宋体" w:hAnsi="宋体" w:cs="宋体"/>
          <w:sz w:val="22"/>
        </w:rPr>
      </w:pPr>
      <w:r>
        <w:rPr>
          <w:rFonts w:hint="eastAsia" w:ascii="宋体" w:hAnsi="宋体" w:cs="宋体"/>
          <w:sz w:val="22"/>
        </w:rPr>
        <w:t>　　一、工程质量保修范围和内容</w:t>
      </w:r>
    </w:p>
    <w:p>
      <w:pPr>
        <w:spacing w:line="340" w:lineRule="exact"/>
        <w:rPr>
          <w:rFonts w:ascii="宋体" w:hAnsi="宋体" w:cs="宋体"/>
          <w:sz w:val="22"/>
        </w:rPr>
      </w:pPr>
      <w:r>
        <w:rPr>
          <w:rFonts w:hint="eastAsia" w:ascii="宋体" w:hAnsi="宋体" w:cs="宋体"/>
          <w:sz w:val="22"/>
        </w:rPr>
        <w:t>　　承包人在缺陷责任期内，按照有关法律规定和合同约定，承担工程质量保修责任。</w:t>
      </w:r>
    </w:p>
    <w:p>
      <w:pPr>
        <w:spacing w:line="340" w:lineRule="exact"/>
        <w:ind w:firstLine="420"/>
        <w:rPr>
          <w:rFonts w:ascii="宋体" w:hAnsi="宋体" w:cs="宋体"/>
          <w:sz w:val="22"/>
        </w:rPr>
      </w:pPr>
      <w:r>
        <w:rPr>
          <w:rFonts w:hint="eastAsia" w:ascii="宋体" w:hAnsi="宋体" w:cs="宋体"/>
          <w:sz w:val="22"/>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为</w:t>
      </w:r>
      <w:r>
        <w:rPr>
          <w:rFonts w:hint="eastAsia" w:ascii="宋体" w:hAnsi="宋体" w:cs="宋体"/>
          <w:b/>
          <w:sz w:val="22"/>
          <w:u w:val="single"/>
        </w:rPr>
        <w:t>药品仓储基地3#库屋面维修项目</w:t>
      </w:r>
      <w:r>
        <w:rPr>
          <w:rFonts w:hint="eastAsia" w:ascii="宋体" w:hAnsi="宋体" w:cs="宋体"/>
          <w:sz w:val="22"/>
        </w:rPr>
        <w:t>施工图纸所示内容。</w:t>
      </w:r>
    </w:p>
    <w:p>
      <w:pPr>
        <w:spacing w:line="340" w:lineRule="exact"/>
        <w:rPr>
          <w:rFonts w:ascii="宋体" w:hAnsi="宋体" w:cs="宋体"/>
          <w:sz w:val="22"/>
        </w:rPr>
      </w:pPr>
      <w:r>
        <w:rPr>
          <w:rFonts w:hint="eastAsia" w:ascii="宋体" w:hAnsi="宋体" w:cs="宋体"/>
          <w:b/>
          <w:sz w:val="22"/>
        </w:rPr>
        <w:t>　　</w:t>
      </w:r>
      <w:r>
        <w:rPr>
          <w:rFonts w:hint="eastAsia" w:ascii="宋体" w:hAnsi="宋体" w:cs="宋体"/>
          <w:sz w:val="22"/>
        </w:rPr>
        <w:t>二、质量保修期</w:t>
      </w:r>
    </w:p>
    <w:p>
      <w:pPr>
        <w:spacing w:line="340" w:lineRule="exact"/>
        <w:ind w:firstLine="440" w:firstLineChars="200"/>
        <w:rPr>
          <w:rFonts w:ascii="宋体" w:hAnsi="宋体" w:cs="宋体"/>
          <w:sz w:val="22"/>
        </w:rPr>
      </w:pPr>
      <w:r>
        <w:rPr>
          <w:rFonts w:hint="eastAsia" w:ascii="宋体" w:hAnsi="宋体" w:cs="宋体"/>
          <w:sz w:val="22"/>
        </w:rPr>
        <w:t>根据《建设工程质量管理条例》及有关规定，工程的质量保修期如下：按国家有关规定。</w:t>
      </w:r>
    </w:p>
    <w:p>
      <w:pPr>
        <w:spacing w:line="340" w:lineRule="exact"/>
        <w:rPr>
          <w:rFonts w:ascii="宋体" w:hAnsi="宋体" w:cs="宋体"/>
          <w:sz w:val="22"/>
        </w:rPr>
      </w:pPr>
      <w:r>
        <w:rPr>
          <w:rFonts w:hint="eastAsia" w:ascii="宋体" w:hAnsi="宋体" w:cs="宋体"/>
          <w:sz w:val="22"/>
        </w:rPr>
        <w:t>　　质量保修期自工程竣工验收合格之日起计算。</w:t>
      </w:r>
    </w:p>
    <w:p>
      <w:pPr>
        <w:spacing w:line="340" w:lineRule="exact"/>
        <w:ind w:firstLine="440" w:firstLineChars="200"/>
        <w:rPr>
          <w:rFonts w:ascii="宋体" w:hAnsi="宋体" w:cs="宋体"/>
          <w:sz w:val="22"/>
        </w:rPr>
      </w:pPr>
      <w:r>
        <w:rPr>
          <w:rFonts w:hint="eastAsia" w:ascii="宋体" w:hAnsi="宋体" w:cs="宋体"/>
          <w:sz w:val="22"/>
        </w:rPr>
        <w:t>三、缺陷责任期</w:t>
      </w:r>
    </w:p>
    <w:p>
      <w:pPr>
        <w:spacing w:line="340" w:lineRule="exact"/>
        <w:ind w:firstLine="440" w:firstLineChars="200"/>
        <w:rPr>
          <w:rFonts w:ascii="宋体" w:hAnsi="宋体" w:cs="宋体"/>
          <w:sz w:val="22"/>
        </w:rPr>
      </w:pPr>
      <w:r>
        <w:rPr>
          <w:rFonts w:hint="eastAsia" w:ascii="宋体" w:hAnsi="宋体" w:cs="宋体"/>
          <w:sz w:val="22"/>
        </w:rPr>
        <w:t>工程缺陷责任期为</w:t>
      </w:r>
      <w:r>
        <w:rPr>
          <w:rFonts w:hint="eastAsia" w:ascii="宋体" w:hAnsi="宋体" w:cs="宋体"/>
          <w:sz w:val="22"/>
          <w:u w:val="single"/>
        </w:rPr>
        <w:t>24</w:t>
      </w:r>
      <w:r>
        <w:rPr>
          <w:rFonts w:hint="eastAsia" w:ascii="宋体" w:hAnsi="宋体" w:cs="宋体"/>
          <w:color w:val="FF0000"/>
          <w:sz w:val="22"/>
          <w:u w:val="single"/>
        </w:rPr>
        <w:t xml:space="preserve"> </w:t>
      </w:r>
      <w:r>
        <w:rPr>
          <w:rFonts w:hint="eastAsia" w:ascii="宋体" w:hAnsi="宋体" w:cs="宋体"/>
          <w:sz w:val="22"/>
        </w:rPr>
        <w:t>个月，缺陷责任期自工程竣工验收合格之日起计算。单位工程先于全部工程进行验收，单位工程缺陷责任期自单位工程验收合格之日起算。</w:t>
      </w:r>
    </w:p>
    <w:p>
      <w:pPr>
        <w:spacing w:line="340" w:lineRule="exact"/>
        <w:ind w:firstLine="440" w:firstLineChars="200"/>
        <w:rPr>
          <w:rFonts w:ascii="宋体" w:hAnsi="宋体" w:cs="宋体"/>
          <w:sz w:val="22"/>
        </w:rPr>
      </w:pPr>
      <w:r>
        <w:rPr>
          <w:rFonts w:hint="eastAsia" w:ascii="宋体" w:hAnsi="宋体" w:cs="宋体"/>
          <w:sz w:val="22"/>
        </w:rPr>
        <w:t>缺陷责任期终止后，发包人应退还剩余的质量保证金。</w:t>
      </w:r>
    </w:p>
    <w:p>
      <w:pPr>
        <w:spacing w:line="340" w:lineRule="exact"/>
        <w:rPr>
          <w:rFonts w:ascii="宋体" w:hAnsi="宋体" w:cs="宋体"/>
          <w:sz w:val="22"/>
        </w:rPr>
      </w:pPr>
      <w:r>
        <w:rPr>
          <w:rFonts w:hint="eastAsia" w:ascii="宋体" w:hAnsi="宋体" w:cs="宋体"/>
          <w:sz w:val="22"/>
        </w:rPr>
        <w:t xml:space="preserve">    四、质量保修责任</w:t>
      </w:r>
    </w:p>
    <w:p>
      <w:pPr>
        <w:spacing w:line="340" w:lineRule="exact"/>
        <w:ind w:firstLine="440" w:firstLineChars="200"/>
        <w:rPr>
          <w:rFonts w:ascii="宋体" w:hAnsi="宋体" w:cs="宋体"/>
          <w:sz w:val="22"/>
        </w:rPr>
      </w:pPr>
      <w:r>
        <w:rPr>
          <w:rFonts w:hint="eastAsia" w:ascii="宋体" w:hAnsi="宋体" w:cs="宋体"/>
          <w:sz w:val="22"/>
        </w:rPr>
        <w:t>1．属于保修范围、内容的项目，承包人应当在接到保修通知之日起2天内派人保修。承包人不在约定期限内派人保修的，发包人可以自行委托他人修理。费用从质量保证金中扣除。修复部分的质保期自修复之日起重新开始计算。</w:t>
      </w:r>
    </w:p>
    <w:p>
      <w:pPr>
        <w:spacing w:line="340" w:lineRule="exact"/>
        <w:ind w:firstLine="440" w:firstLineChars="200"/>
        <w:rPr>
          <w:rFonts w:ascii="宋体" w:hAnsi="宋体" w:cs="宋体"/>
          <w:sz w:val="22"/>
        </w:rPr>
      </w:pPr>
      <w:r>
        <w:rPr>
          <w:rFonts w:hint="eastAsia" w:ascii="宋体" w:hAnsi="宋体" w:cs="宋体"/>
          <w:sz w:val="22"/>
        </w:rPr>
        <w:t>2．发生紧急事故需抢修的，承包人在接到事故通知后，应当立即到达事故现场进行持续抢修直至修复。</w:t>
      </w:r>
    </w:p>
    <w:p>
      <w:pPr>
        <w:spacing w:line="340" w:lineRule="exact"/>
        <w:ind w:firstLine="440" w:firstLineChars="200"/>
        <w:rPr>
          <w:rFonts w:ascii="宋体" w:hAnsi="宋体" w:cs="宋体"/>
          <w:sz w:val="22"/>
        </w:rPr>
      </w:pPr>
      <w:r>
        <w:rPr>
          <w:rFonts w:hint="eastAsia" w:ascii="宋体" w:hAnsi="宋体" w:cs="宋体"/>
          <w:sz w:val="22"/>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40" w:lineRule="exact"/>
        <w:ind w:firstLine="440" w:firstLineChars="200"/>
        <w:rPr>
          <w:rFonts w:ascii="宋体" w:hAnsi="宋体" w:cs="宋体"/>
          <w:sz w:val="22"/>
        </w:rPr>
      </w:pPr>
      <w:r>
        <w:rPr>
          <w:rFonts w:hint="eastAsia" w:ascii="宋体" w:hAnsi="宋体" w:cs="宋体"/>
          <w:sz w:val="22"/>
        </w:rPr>
        <w:t>4．质量保修完成后，由发包人组织验收。验收不合格的，发包人有权自行委托第三方修理，全部费用由承包人承担，由发包人与第三方确认后直接从质保金中扣除。</w:t>
      </w:r>
    </w:p>
    <w:p>
      <w:pPr>
        <w:spacing w:line="340" w:lineRule="exact"/>
        <w:rPr>
          <w:rFonts w:ascii="宋体" w:hAnsi="宋体" w:cs="宋体"/>
          <w:sz w:val="22"/>
        </w:rPr>
      </w:pPr>
      <w:r>
        <w:rPr>
          <w:rFonts w:hint="eastAsia" w:ascii="宋体" w:hAnsi="宋体" w:cs="宋体"/>
          <w:sz w:val="22"/>
        </w:rPr>
        <w:t>　　五、保修费用</w:t>
      </w:r>
    </w:p>
    <w:p>
      <w:pPr>
        <w:spacing w:line="340" w:lineRule="exact"/>
        <w:rPr>
          <w:rFonts w:ascii="宋体" w:hAnsi="宋体" w:cs="宋体"/>
          <w:sz w:val="22"/>
        </w:rPr>
      </w:pPr>
      <w:r>
        <w:rPr>
          <w:rFonts w:hint="eastAsia" w:ascii="宋体" w:hAnsi="宋体" w:cs="宋体"/>
          <w:sz w:val="22"/>
        </w:rPr>
        <w:t>　　保修费用由造成质量缺陷的责任方承担；对责任方的确定产生疑问或争议的，依发包人委托的鉴定机构所出具的独立报告来确定。</w:t>
      </w:r>
    </w:p>
    <w:p>
      <w:pPr>
        <w:spacing w:line="340" w:lineRule="exact"/>
        <w:ind w:firstLine="440" w:firstLineChars="200"/>
        <w:rPr>
          <w:rFonts w:ascii="宋体" w:hAnsi="宋体" w:cs="宋体"/>
          <w:sz w:val="22"/>
        </w:rPr>
      </w:pPr>
      <w:r>
        <w:rPr>
          <w:rFonts w:hint="eastAsia" w:ascii="宋体" w:hAnsi="宋体" w:cs="宋体"/>
          <w:sz w:val="22"/>
        </w:rPr>
        <w:t xml:space="preserve">六、双方约定的其他工程质量保修事项： </w:t>
      </w:r>
    </w:p>
    <w:p>
      <w:pPr>
        <w:spacing w:line="340" w:lineRule="exact"/>
        <w:ind w:firstLine="440" w:firstLineChars="200"/>
        <w:rPr>
          <w:rFonts w:ascii="宋体" w:hAnsi="宋体" w:cs="宋体"/>
          <w:sz w:val="22"/>
        </w:rPr>
      </w:pPr>
      <w:r>
        <w:rPr>
          <w:rFonts w:hint="eastAsia" w:ascii="宋体" w:hAnsi="宋体" w:cs="宋体"/>
          <w:sz w:val="22"/>
        </w:rPr>
        <w:t>6.1质量保证金的返还：支付款项时扣除应由承包人承担的保修费用后，在缺陷责任期满后的56天内归还（不计利息）。</w:t>
      </w:r>
    </w:p>
    <w:p>
      <w:pPr>
        <w:spacing w:line="340" w:lineRule="exact"/>
        <w:ind w:firstLine="440" w:firstLineChars="200"/>
        <w:rPr>
          <w:rFonts w:ascii="宋体" w:hAnsi="宋体" w:cs="宋体"/>
          <w:sz w:val="22"/>
        </w:rPr>
      </w:pPr>
      <w:r>
        <w:rPr>
          <w:rFonts w:hint="eastAsia" w:ascii="宋体" w:hAnsi="宋体" w:cs="宋体"/>
          <w:sz w:val="22"/>
        </w:rPr>
        <w:t>6.2本工程质量保修书，由施工合同发包人、承包人双方在本合同签订时共同盖章后生效，作为施工合同附件，其有效期限至保修期满。</w:t>
      </w:r>
    </w:p>
    <w:p>
      <w:pPr>
        <w:spacing w:line="340" w:lineRule="exact"/>
        <w:ind w:firstLine="440" w:firstLineChars="200"/>
        <w:rPr>
          <w:rFonts w:ascii="宋体" w:hAnsi="宋体" w:cs="宋体"/>
          <w:sz w:val="22"/>
        </w:rPr>
      </w:pPr>
    </w:p>
    <w:p>
      <w:pPr>
        <w:spacing w:line="340" w:lineRule="exact"/>
        <w:ind w:firstLine="420"/>
        <w:rPr>
          <w:rFonts w:ascii="宋体" w:hAnsi="宋体" w:cs="宋体"/>
          <w:sz w:val="22"/>
        </w:rPr>
      </w:pPr>
      <w:r>
        <w:rPr>
          <w:rFonts w:hint="eastAsia" w:ascii="宋体" w:hAnsi="宋体" w:cs="宋体"/>
          <w:sz w:val="22"/>
        </w:rPr>
        <w:t xml:space="preserve">发    包    人（公章）：             </w:t>
      </w:r>
      <w:r>
        <w:rPr>
          <w:rFonts w:hint="eastAsia" w:ascii="宋体" w:hAnsi="宋体" w:cs="宋体"/>
          <w:sz w:val="22"/>
        </w:rPr>
        <w:tab/>
      </w:r>
      <w:r>
        <w:rPr>
          <w:rFonts w:hint="eastAsia" w:ascii="宋体" w:hAnsi="宋体" w:cs="宋体"/>
          <w:sz w:val="22"/>
        </w:rPr>
        <w:t>承    包    人（公章）：</w:t>
      </w:r>
    </w:p>
    <w:p>
      <w:pPr>
        <w:spacing w:line="340" w:lineRule="exact"/>
        <w:rPr>
          <w:rFonts w:ascii="宋体" w:hAnsi="宋体" w:cs="宋体"/>
        </w:rPr>
      </w:pPr>
      <w:r>
        <w:rPr>
          <w:rFonts w:hint="eastAsia" w:ascii="宋体" w:hAnsi="宋体" w:cs="宋体"/>
        </w:rPr>
        <w:br w:type="page"/>
      </w:r>
      <w:r>
        <w:rPr>
          <w:rFonts w:hint="eastAsia" w:ascii="宋体" w:hAnsi="宋体" w:cs="宋体"/>
        </w:rPr>
        <w:t>附件二：</w:t>
      </w:r>
    </w:p>
    <w:p>
      <w:pPr>
        <w:tabs>
          <w:tab w:val="left" w:pos="540"/>
        </w:tabs>
        <w:topLinePunct/>
        <w:ind w:firstLine="723"/>
        <w:jc w:val="center"/>
        <w:rPr>
          <w:rFonts w:ascii="宋体" w:hAnsi="宋体" w:cs="宋体"/>
          <w:b/>
          <w:sz w:val="36"/>
        </w:rPr>
      </w:pPr>
      <w:r>
        <w:rPr>
          <w:rFonts w:hint="eastAsia" w:ascii="宋体" w:hAnsi="宋体" w:cs="宋体"/>
          <w:b/>
          <w:sz w:val="36"/>
        </w:rPr>
        <w:t>安全文明施工协议书</w:t>
      </w:r>
    </w:p>
    <w:p>
      <w:pPr>
        <w:spacing w:line="360" w:lineRule="exact"/>
        <w:rPr>
          <w:rFonts w:asciiTheme="minorEastAsia" w:hAnsiTheme="minorEastAsia"/>
          <w:b/>
          <w:sz w:val="22"/>
        </w:rPr>
      </w:pPr>
      <w:r>
        <w:rPr>
          <w:rFonts w:hint="eastAsia" w:asciiTheme="minorEastAsia" w:hAnsiTheme="minorEastAsia"/>
          <w:b/>
          <w:sz w:val="22"/>
        </w:rPr>
        <w:t>发包人（甲方）：浙江航空开发有限责任公司</w:t>
      </w:r>
    </w:p>
    <w:p>
      <w:pPr>
        <w:spacing w:line="360" w:lineRule="exact"/>
        <w:rPr>
          <w:rFonts w:asciiTheme="minorEastAsia" w:hAnsiTheme="minorEastAsia"/>
          <w:b/>
          <w:sz w:val="22"/>
          <w:u w:val="single"/>
        </w:rPr>
      </w:pPr>
      <w:r>
        <w:rPr>
          <w:rFonts w:hint="eastAsia" w:asciiTheme="minorEastAsia" w:hAnsiTheme="minorEastAsia"/>
          <w:b/>
          <w:sz w:val="22"/>
        </w:rPr>
        <w:t>承包人（乙方）：</w:t>
      </w:r>
    </w:p>
    <w:p>
      <w:pPr>
        <w:spacing w:line="360" w:lineRule="exact"/>
        <w:ind w:firstLine="440" w:firstLineChars="200"/>
        <w:rPr>
          <w:rFonts w:asciiTheme="minorEastAsia" w:hAnsiTheme="minorEastAsia"/>
          <w:sz w:val="22"/>
        </w:rPr>
      </w:pPr>
      <w:r>
        <w:rPr>
          <w:rFonts w:asciiTheme="minorEastAsia" w:hAnsiTheme="minorEastAsia"/>
          <w:sz w:val="22"/>
        </w:rPr>
        <w:t>为确保</w:t>
      </w:r>
      <w:r>
        <w:rPr>
          <w:rFonts w:hint="eastAsia" w:asciiTheme="minorEastAsia" w:hAnsiTheme="minorEastAsia"/>
          <w:sz w:val="22"/>
          <w:u w:val="single"/>
        </w:rPr>
        <w:t xml:space="preserve">  药品仓储基地3#库屋面维修项目   </w:t>
      </w:r>
      <w:r>
        <w:rPr>
          <w:rFonts w:hint="eastAsia" w:asciiTheme="minorEastAsia" w:hAnsiTheme="minorEastAsia"/>
          <w:b/>
          <w:sz w:val="22"/>
        </w:rPr>
        <w:t>工程</w:t>
      </w:r>
      <w:r>
        <w:rPr>
          <w:rFonts w:asciiTheme="minorEastAsia" w:hAnsiTheme="minorEastAsia"/>
          <w:sz w:val="22"/>
        </w:rPr>
        <w:t xml:space="preserve">的顺利实施，保障机场安全、有序运行，保证工程质量和施工安全，保护国家财产和施工人员的安全与健康，维护甲乙双方的合法利益，明确双方责任，保持良好的施工、生活秩序和饮食、环境卫生。根据国家现行的有关法律、法规和安全生产规范、规程及标准，经双方协商，签订本《安全文明施工协议书》。 </w:t>
      </w:r>
    </w:p>
    <w:p>
      <w:pPr>
        <w:spacing w:line="360" w:lineRule="exact"/>
        <w:ind w:firstLine="442" w:firstLineChars="200"/>
        <w:rPr>
          <w:rFonts w:asciiTheme="minorEastAsia" w:hAnsiTheme="minorEastAsia"/>
          <w:bCs/>
          <w:sz w:val="22"/>
        </w:rPr>
      </w:pPr>
      <w:r>
        <w:rPr>
          <w:rFonts w:asciiTheme="minorEastAsia" w:hAnsiTheme="minorEastAsia"/>
          <w:b/>
          <w:sz w:val="22"/>
        </w:rPr>
        <w:t>一、甲方对乙方实行安全目标管理，安全目标的具体内容是</w:t>
      </w:r>
      <w:r>
        <w:rPr>
          <w:rFonts w:asciiTheme="minorEastAsia" w:hAnsiTheme="minorEastAsia"/>
          <w:sz w:val="22"/>
        </w:rPr>
        <w:t>：</w:t>
      </w:r>
    </w:p>
    <w:p>
      <w:pPr>
        <w:spacing w:line="360" w:lineRule="exact"/>
        <w:ind w:firstLine="440" w:firstLineChars="200"/>
        <w:rPr>
          <w:rFonts w:asciiTheme="minorEastAsia" w:hAnsiTheme="minorEastAsia"/>
          <w:sz w:val="22"/>
        </w:rPr>
      </w:pPr>
      <w:r>
        <w:rPr>
          <w:rFonts w:asciiTheme="minorEastAsia" w:hAnsiTheme="minorEastAsia"/>
          <w:sz w:val="22"/>
        </w:rPr>
        <w:t>1、无死亡事故和重大伤害事故(含道路交通事故)。</w:t>
      </w:r>
    </w:p>
    <w:p>
      <w:pPr>
        <w:spacing w:line="360" w:lineRule="exact"/>
        <w:ind w:firstLine="440" w:firstLineChars="200"/>
        <w:rPr>
          <w:rFonts w:asciiTheme="minorEastAsia" w:hAnsiTheme="minorEastAsia"/>
          <w:sz w:val="22"/>
        </w:rPr>
      </w:pPr>
      <w:r>
        <w:rPr>
          <w:rFonts w:asciiTheme="minorEastAsia" w:hAnsiTheme="minorEastAsia"/>
          <w:sz w:val="22"/>
        </w:rPr>
        <w:t>2、无重大责任事故。</w:t>
      </w:r>
    </w:p>
    <w:p>
      <w:pPr>
        <w:spacing w:line="360" w:lineRule="exact"/>
        <w:ind w:firstLine="440" w:firstLineChars="200"/>
        <w:rPr>
          <w:rFonts w:asciiTheme="minorEastAsia" w:hAnsiTheme="minorEastAsia"/>
          <w:sz w:val="22"/>
        </w:rPr>
      </w:pPr>
      <w:r>
        <w:rPr>
          <w:rFonts w:asciiTheme="minorEastAsia" w:hAnsiTheme="minorEastAsia"/>
          <w:sz w:val="22"/>
        </w:rPr>
        <w:t>3、无空防安全事故。</w:t>
      </w:r>
    </w:p>
    <w:p>
      <w:pPr>
        <w:spacing w:line="360" w:lineRule="exact"/>
        <w:ind w:firstLine="440" w:firstLineChars="200"/>
        <w:rPr>
          <w:rFonts w:asciiTheme="minorEastAsia" w:hAnsiTheme="minorEastAsia"/>
          <w:sz w:val="22"/>
        </w:rPr>
      </w:pPr>
      <w:r>
        <w:rPr>
          <w:rFonts w:asciiTheme="minorEastAsia" w:hAnsiTheme="minorEastAsia"/>
          <w:sz w:val="22"/>
        </w:rPr>
        <w:t>4、无七类重大刑事案件(杀人、绑架、强奸、放火、爆炸、劫持、故意伤害致死)及其它严重、恶性案件。</w:t>
      </w:r>
    </w:p>
    <w:p>
      <w:pPr>
        <w:spacing w:line="360" w:lineRule="exact"/>
        <w:ind w:firstLine="440" w:firstLineChars="200"/>
        <w:rPr>
          <w:rFonts w:asciiTheme="minorEastAsia" w:hAnsiTheme="minorEastAsia"/>
          <w:sz w:val="22"/>
        </w:rPr>
      </w:pPr>
      <w:r>
        <w:rPr>
          <w:rFonts w:asciiTheme="minorEastAsia" w:hAnsiTheme="minorEastAsia"/>
          <w:sz w:val="22"/>
        </w:rPr>
        <w:t>上述情况的认定按国家和行业的有关规定和标准执行。</w:t>
      </w:r>
    </w:p>
    <w:p>
      <w:pPr>
        <w:spacing w:line="360" w:lineRule="exact"/>
        <w:ind w:firstLine="442" w:firstLineChars="200"/>
        <w:rPr>
          <w:rFonts w:asciiTheme="minorEastAsia" w:hAnsiTheme="minorEastAsia"/>
          <w:b/>
          <w:sz w:val="22"/>
        </w:rPr>
      </w:pPr>
      <w:r>
        <w:rPr>
          <w:rFonts w:asciiTheme="minorEastAsia" w:hAnsiTheme="minorEastAsia"/>
          <w:b/>
          <w:sz w:val="22"/>
        </w:rPr>
        <w:t>二、甲方的协助责任和权利</w:t>
      </w:r>
    </w:p>
    <w:p>
      <w:pPr>
        <w:spacing w:line="360" w:lineRule="exact"/>
        <w:ind w:firstLine="440" w:firstLineChars="200"/>
        <w:rPr>
          <w:rFonts w:asciiTheme="minorEastAsia" w:hAnsiTheme="minorEastAsia"/>
          <w:sz w:val="22"/>
        </w:rPr>
      </w:pPr>
      <w:r>
        <w:rPr>
          <w:rFonts w:asciiTheme="minorEastAsia" w:hAnsiTheme="minorEastAsia"/>
          <w:sz w:val="22"/>
        </w:rPr>
        <w:t xml:space="preserve">5、不得对乙方提出违反国家法律、法规和强制性标准规定的要求。 </w:t>
      </w:r>
    </w:p>
    <w:p>
      <w:pPr>
        <w:spacing w:line="360" w:lineRule="exact"/>
        <w:ind w:firstLine="440" w:firstLineChars="200"/>
        <w:rPr>
          <w:rFonts w:asciiTheme="minorEastAsia" w:hAnsiTheme="minorEastAsia"/>
          <w:sz w:val="22"/>
        </w:rPr>
      </w:pPr>
      <w:r>
        <w:rPr>
          <w:rFonts w:asciiTheme="minorEastAsia" w:hAnsiTheme="minorEastAsia"/>
          <w:sz w:val="22"/>
        </w:rPr>
        <w:t xml:space="preserve">6、不得要求乙方购买、租赁、使用不符合安全施工要求的安全防护用具、机械设备、施工机具及配件、消防设施和器材等。 </w:t>
      </w:r>
    </w:p>
    <w:p>
      <w:pPr>
        <w:spacing w:line="360" w:lineRule="exact"/>
        <w:ind w:firstLine="440" w:firstLineChars="200"/>
        <w:rPr>
          <w:rFonts w:asciiTheme="minorEastAsia" w:hAnsiTheme="minorEastAsia"/>
          <w:sz w:val="22"/>
        </w:rPr>
      </w:pPr>
      <w:r>
        <w:rPr>
          <w:rFonts w:asciiTheme="minorEastAsia" w:hAnsiTheme="minorEastAsia"/>
          <w:sz w:val="22"/>
        </w:rPr>
        <w:t>7、由于民航行业的特殊性和空防安全的重要性，甲方对进出飞行区施工的人员和车辆实行通行证管理制度。为此，乙方成员必须参加甲方组织的专门安全教育培训和考试（主要是机场飞行、空防、不停航施工等安全方面知识）；同时甲方应协助乙方对全体施工人员进行安全教育培训和考核，并协助乙方办理相关人员和车辆的施工通行证。</w:t>
      </w:r>
    </w:p>
    <w:p>
      <w:pPr>
        <w:spacing w:line="360" w:lineRule="exact"/>
        <w:ind w:firstLine="440" w:firstLineChars="200"/>
        <w:rPr>
          <w:rFonts w:asciiTheme="minorEastAsia" w:hAnsiTheme="minorEastAsia"/>
          <w:sz w:val="22"/>
        </w:rPr>
      </w:pPr>
      <w:r>
        <w:rPr>
          <w:rFonts w:asciiTheme="minorEastAsia" w:hAnsiTheme="minorEastAsia"/>
          <w:sz w:val="22"/>
        </w:rPr>
        <w:t>8、联系和协调机场公安机关，督促施工单位按有关规定申报暂住登记和申领《暂住证》，并协助乙方联系机场公安局商定有关飞行区安全保卫事宜。</w:t>
      </w:r>
    </w:p>
    <w:p>
      <w:pPr>
        <w:spacing w:line="360" w:lineRule="exact"/>
        <w:ind w:firstLine="440" w:firstLineChars="200"/>
        <w:rPr>
          <w:rFonts w:asciiTheme="minorEastAsia" w:hAnsiTheme="minorEastAsia"/>
          <w:sz w:val="22"/>
        </w:rPr>
      </w:pPr>
      <w:r>
        <w:rPr>
          <w:rFonts w:asciiTheme="minorEastAsia" w:hAnsiTheme="minorEastAsia"/>
          <w:sz w:val="22"/>
        </w:rPr>
        <w:t>9、利用施工例会定期分析和掌握施工单位的治安情况，通报当前治安形势，交流工作经验，协助处理相关问题。</w:t>
      </w:r>
    </w:p>
    <w:p>
      <w:pPr>
        <w:spacing w:line="360" w:lineRule="exact"/>
        <w:ind w:firstLine="440" w:firstLineChars="200"/>
        <w:rPr>
          <w:rFonts w:asciiTheme="minorEastAsia" w:hAnsiTheme="minorEastAsia"/>
          <w:sz w:val="22"/>
        </w:rPr>
      </w:pPr>
      <w:r>
        <w:rPr>
          <w:rFonts w:asciiTheme="minorEastAsia" w:hAnsiTheme="minorEastAsia"/>
          <w:sz w:val="22"/>
        </w:rPr>
        <w:t>10、乙方拒不按照本协议条款规定组织安全文明施工的，甲方有权责令乙方停工整改直至终止合同。</w:t>
      </w:r>
    </w:p>
    <w:p>
      <w:pPr>
        <w:spacing w:line="360" w:lineRule="exact"/>
        <w:ind w:firstLine="440" w:firstLineChars="200"/>
        <w:rPr>
          <w:rFonts w:asciiTheme="minorEastAsia" w:hAnsiTheme="minorEastAsia"/>
          <w:sz w:val="22"/>
        </w:rPr>
      </w:pPr>
      <w:r>
        <w:rPr>
          <w:rFonts w:asciiTheme="minorEastAsia" w:hAnsiTheme="minorEastAsia"/>
          <w:sz w:val="22"/>
        </w:rPr>
        <w:t>11、甲方有权对乙方各项安全工作进行监督、检查。</w:t>
      </w:r>
    </w:p>
    <w:p>
      <w:pPr>
        <w:spacing w:line="360" w:lineRule="exact"/>
        <w:ind w:firstLine="440" w:firstLineChars="200"/>
        <w:rPr>
          <w:rFonts w:asciiTheme="minorEastAsia" w:hAnsiTheme="minorEastAsia"/>
          <w:sz w:val="22"/>
        </w:rPr>
      </w:pPr>
      <w:r>
        <w:rPr>
          <w:rFonts w:asciiTheme="minorEastAsia" w:hAnsiTheme="minorEastAsia"/>
          <w:sz w:val="22"/>
        </w:rPr>
        <w:t>12、对乙方因违反民航总局第191号令《民用机场运行安全管理规定》而发生不安全事件，甲方有权按照相关处罚条例对乙方予以处罚，造成严重后果或损失重大的，甲方有权将乙方清退出场并追偿由此而造成的损失。</w:t>
      </w:r>
    </w:p>
    <w:p>
      <w:pPr>
        <w:spacing w:line="360" w:lineRule="exact"/>
        <w:ind w:firstLine="442" w:firstLineChars="200"/>
        <w:rPr>
          <w:rFonts w:asciiTheme="minorEastAsia" w:hAnsiTheme="minorEastAsia"/>
          <w:b/>
          <w:sz w:val="22"/>
        </w:rPr>
      </w:pPr>
      <w:r>
        <w:rPr>
          <w:rFonts w:asciiTheme="minorEastAsia" w:hAnsiTheme="minorEastAsia"/>
          <w:b/>
          <w:sz w:val="22"/>
        </w:rPr>
        <w:t>三、乙方的安全责任和权利</w:t>
      </w:r>
    </w:p>
    <w:p>
      <w:pPr>
        <w:spacing w:line="360" w:lineRule="exact"/>
        <w:ind w:firstLine="440" w:firstLineChars="200"/>
        <w:rPr>
          <w:rFonts w:asciiTheme="minorEastAsia" w:hAnsiTheme="minorEastAsia"/>
          <w:sz w:val="22"/>
        </w:rPr>
      </w:pPr>
      <w:r>
        <w:rPr>
          <w:rFonts w:asciiTheme="minorEastAsia" w:hAnsiTheme="minorEastAsia"/>
          <w:sz w:val="22"/>
        </w:rPr>
        <w:t>（一）乙方应从事的施工安全管理</w:t>
      </w:r>
    </w:p>
    <w:p>
      <w:pPr>
        <w:spacing w:line="360" w:lineRule="exact"/>
        <w:ind w:firstLine="440" w:firstLineChars="200"/>
        <w:rPr>
          <w:rFonts w:asciiTheme="minorEastAsia" w:hAnsiTheme="minorEastAsia"/>
          <w:sz w:val="22"/>
        </w:rPr>
      </w:pPr>
      <w:r>
        <w:rPr>
          <w:rFonts w:asciiTheme="minorEastAsia" w:hAnsiTheme="minorEastAsia"/>
          <w:sz w:val="22"/>
        </w:rPr>
        <w:t xml:space="preserve">13、遵守《中华人民共和国安全生产法》、《建设工程安全管理条例》以及其他安全生产的法律、法规，遵守民航航空安全、空防管理的法律、法规，遵守机场有关安全管理的规章制度。 </w:t>
      </w:r>
    </w:p>
    <w:p>
      <w:pPr>
        <w:spacing w:line="360" w:lineRule="exact"/>
        <w:ind w:firstLine="440" w:firstLineChars="200"/>
        <w:rPr>
          <w:rFonts w:asciiTheme="minorEastAsia" w:hAnsiTheme="minorEastAsia"/>
          <w:sz w:val="22"/>
        </w:rPr>
      </w:pPr>
      <w:r>
        <w:rPr>
          <w:rFonts w:asciiTheme="minorEastAsia" w:hAnsiTheme="minorEastAsia"/>
          <w:sz w:val="22"/>
        </w:rPr>
        <w:t>14、对工程项目的施工安全负全责，根据工程特点制定安全施工措施，消除安全事故隐患，确保工程质量和安全。制定并完善各类突发事件的应急预案，一旦发生安全事故应及时、如实报告和积极应对。对工程依法实行总分包制，总包单位对施工安全负总责，并以安全责任书的方式确定各分包单位的安全责任。</w:t>
      </w:r>
    </w:p>
    <w:p>
      <w:pPr>
        <w:spacing w:line="360" w:lineRule="exact"/>
        <w:ind w:firstLine="440" w:firstLineChars="200"/>
        <w:rPr>
          <w:rFonts w:asciiTheme="minorEastAsia" w:hAnsiTheme="minorEastAsia"/>
          <w:sz w:val="22"/>
        </w:rPr>
      </w:pPr>
      <w:r>
        <w:rPr>
          <w:rFonts w:asciiTheme="minorEastAsia" w:hAnsiTheme="minorEastAsia"/>
          <w:sz w:val="22"/>
        </w:rPr>
        <w:t>15、工程开工前，应完成安全生产规章制度和操作规程等相应规章的制定工作；成立由项目经理为责任人的有效的安全保障网络；指定项目部专职安全员、班组安全员，并接受甲方的培训和考核，合格后方可上岗；对其他施工人员必须进行安全生产教育培训；保证安全生产条件所需资金的投入。开工后应对工程施工安全进行日常、定期和专项的检查，及时发现和消除安全隐患并做好记录。</w:t>
      </w:r>
    </w:p>
    <w:p>
      <w:pPr>
        <w:spacing w:line="360" w:lineRule="exact"/>
        <w:ind w:firstLine="440" w:firstLineChars="200"/>
        <w:rPr>
          <w:rFonts w:asciiTheme="minorEastAsia" w:hAnsiTheme="minorEastAsia"/>
          <w:sz w:val="22"/>
        </w:rPr>
      </w:pPr>
      <w:r>
        <w:rPr>
          <w:rFonts w:asciiTheme="minorEastAsia" w:hAnsiTheme="minorEastAsia"/>
          <w:sz w:val="22"/>
        </w:rPr>
        <w:t xml:space="preserve">16、对安全作业环境建设及安全施工措施制定、实行所需的费用，应当列入建设工程预算，专款专用，不得挪作他用。 </w:t>
      </w:r>
    </w:p>
    <w:p>
      <w:pPr>
        <w:spacing w:line="360" w:lineRule="exact"/>
        <w:ind w:firstLine="440" w:firstLineChars="200"/>
        <w:rPr>
          <w:rFonts w:asciiTheme="minorEastAsia" w:hAnsiTheme="minorEastAsia"/>
          <w:sz w:val="22"/>
        </w:rPr>
      </w:pPr>
      <w:r>
        <w:rPr>
          <w:rFonts w:asciiTheme="minorEastAsia" w:hAnsiTheme="minorEastAsia"/>
          <w:sz w:val="22"/>
        </w:rPr>
        <w:t>17、垂直运输作业人员、安装拆卸工、电工、焊接和切割工、爆破作业人员、消防工程从业人员、起重信号工、登高作业人员等特种行业从业人员，必须按照国家有关规定经过专门的作业培训，并取得相应操作资格后方可上岗作业,并严格遵守相关的操作规章规程。</w:t>
      </w:r>
    </w:p>
    <w:p>
      <w:pPr>
        <w:spacing w:line="360" w:lineRule="exact"/>
        <w:ind w:firstLine="440" w:firstLineChars="200"/>
        <w:rPr>
          <w:rFonts w:asciiTheme="minorEastAsia" w:hAnsiTheme="minorEastAsia"/>
          <w:sz w:val="22"/>
        </w:rPr>
      </w:pPr>
      <w:r>
        <w:rPr>
          <w:rFonts w:asciiTheme="minorEastAsia" w:hAnsiTheme="minorEastAsia"/>
          <w:sz w:val="22"/>
        </w:rPr>
        <w:t>18、在施工组织设计中应当制定安全技术措施和施工现场临时用电方案，对危险性较大的部分分项工程应当制定专项施工方案，并附安全验算计算书，经乙方技术负责人、总监理工程师阅览签字后实施，由专职安全生产管理人员进行现场监督。</w:t>
      </w:r>
    </w:p>
    <w:p>
      <w:pPr>
        <w:spacing w:line="360" w:lineRule="exact"/>
        <w:ind w:firstLine="440" w:firstLineChars="200"/>
        <w:rPr>
          <w:rFonts w:asciiTheme="minorEastAsia" w:hAnsiTheme="minorEastAsia"/>
          <w:sz w:val="22"/>
        </w:rPr>
      </w:pPr>
      <w:r>
        <w:rPr>
          <w:rFonts w:asciiTheme="minorEastAsia" w:hAnsiTheme="minorEastAsia"/>
          <w:sz w:val="22"/>
        </w:rPr>
        <w:t xml:space="preserve">19、在施工前，负责项目管理的技术人员应当对有关安全施工的技术要求向作业班组、作业人员做出书面交底，并由双方确认签字。 </w:t>
      </w:r>
    </w:p>
    <w:p>
      <w:pPr>
        <w:spacing w:line="360" w:lineRule="exact"/>
        <w:ind w:firstLine="440" w:firstLineChars="200"/>
        <w:rPr>
          <w:rFonts w:asciiTheme="minorEastAsia" w:hAnsiTheme="minorEastAsia"/>
          <w:sz w:val="22"/>
        </w:rPr>
      </w:pPr>
      <w:r>
        <w:rPr>
          <w:rFonts w:asciiTheme="minorEastAsia" w:hAnsiTheme="minorEastAsia"/>
          <w:sz w:val="22"/>
        </w:rPr>
        <w:t xml:space="preserve">20、应根据不同的施工阶段和环境及季节、气候的变化，在施工现场采取相应的安全防护措施；施工现场暂时停止施工的，乙方要做好现场防护工作，所需费用由乙方承担（合同有约定的除外）。 </w:t>
      </w:r>
    </w:p>
    <w:p>
      <w:pPr>
        <w:spacing w:line="360" w:lineRule="exact"/>
        <w:ind w:firstLine="440" w:firstLineChars="200"/>
        <w:rPr>
          <w:rFonts w:asciiTheme="minorEastAsia" w:hAnsiTheme="minorEastAsia"/>
          <w:sz w:val="22"/>
        </w:rPr>
      </w:pPr>
      <w:r>
        <w:rPr>
          <w:rFonts w:asciiTheme="minorEastAsia" w:hAnsiTheme="minorEastAsia"/>
          <w:sz w:val="22"/>
        </w:rPr>
        <w:t xml:space="preserve">21、应当向作业人员提供安全防护用具和安全防护服装，并书面告知危险岗位的操作规程以及违章操作所产生的危害。 </w:t>
      </w:r>
    </w:p>
    <w:p>
      <w:pPr>
        <w:spacing w:line="360" w:lineRule="exact"/>
        <w:ind w:firstLine="440" w:firstLineChars="200"/>
        <w:rPr>
          <w:rFonts w:asciiTheme="minorEastAsia" w:hAnsiTheme="minorEastAsia"/>
          <w:sz w:val="22"/>
        </w:rPr>
      </w:pPr>
      <w:r>
        <w:rPr>
          <w:rFonts w:asciiTheme="minorEastAsia" w:hAnsiTheme="minorEastAsia"/>
          <w:sz w:val="22"/>
        </w:rPr>
        <w:t xml:space="preserve">22、采购、租赁的安全防护用具、机械设备、施工机具及配件，应当具有生产许可证、产品合格证，并在进入施工现场前进行查验。 </w:t>
      </w:r>
    </w:p>
    <w:p>
      <w:pPr>
        <w:spacing w:line="360" w:lineRule="exact"/>
        <w:ind w:firstLine="440" w:firstLineChars="200"/>
        <w:rPr>
          <w:rFonts w:asciiTheme="minorEastAsia" w:hAnsiTheme="minorEastAsia"/>
          <w:sz w:val="22"/>
        </w:rPr>
      </w:pPr>
      <w:r>
        <w:rPr>
          <w:rFonts w:asciiTheme="minorEastAsia" w:hAnsiTheme="minorEastAsia"/>
          <w:sz w:val="22"/>
        </w:rPr>
        <w:t xml:space="preserve">23、施工现场的安全防护用具、机械设备、施工机具及配件必须由专人管理，并定期检查、维修和保养，建立相应的资料档案，并按照国家规定及时报废。 </w:t>
      </w:r>
    </w:p>
    <w:p>
      <w:pPr>
        <w:spacing w:line="360" w:lineRule="exact"/>
        <w:ind w:firstLine="440" w:firstLineChars="200"/>
        <w:rPr>
          <w:rFonts w:asciiTheme="minorEastAsia" w:hAnsiTheme="minorEastAsia"/>
          <w:sz w:val="22"/>
        </w:rPr>
      </w:pPr>
      <w:r>
        <w:rPr>
          <w:rFonts w:asciiTheme="minorEastAsia" w:hAnsiTheme="minorEastAsia"/>
          <w:sz w:val="22"/>
        </w:rPr>
        <w:t xml:space="preserve">24、在采用新技术、新工艺、新设备、新材料时，应当对作业人员进行相应的安全生产教育培训。 </w:t>
      </w:r>
    </w:p>
    <w:p>
      <w:pPr>
        <w:spacing w:line="360" w:lineRule="exact"/>
        <w:ind w:firstLine="440" w:firstLineChars="200"/>
        <w:rPr>
          <w:rFonts w:asciiTheme="minorEastAsia" w:hAnsiTheme="minorEastAsia"/>
          <w:sz w:val="22"/>
        </w:rPr>
      </w:pPr>
      <w:r>
        <w:rPr>
          <w:rFonts w:asciiTheme="minorEastAsia" w:hAnsiTheme="minorEastAsia"/>
          <w:sz w:val="22"/>
        </w:rPr>
        <w:t xml:space="preserve">25、应当为施工现场从事危险作业的人员办理意外伤害保险，并支付意外伤害保险费。意外伤害保险期自建设工程开工之日起至竣工验收合格止。 </w:t>
      </w:r>
    </w:p>
    <w:p>
      <w:pPr>
        <w:spacing w:line="360" w:lineRule="exact"/>
        <w:ind w:firstLine="440" w:firstLineChars="200"/>
        <w:rPr>
          <w:rFonts w:asciiTheme="minorEastAsia" w:hAnsiTheme="minorEastAsia"/>
          <w:sz w:val="22"/>
        </w:rPr>
      </w:pPr>
      <w:r>
        <w:rPr>
          <w:rFonts w:asciiTheme="minorEastAsia" w:hAnsiTheme="minorEastAsia"/>
          <w:sz w:val="22"/>
        </w:rPr>
        <w:t>26、乙方不得在机场和机场净空保护区范围内施放烟花、爆竹、气球等升空物体；不得随意焚烧垃圾等物品制造烟雾；不得饲养动物；不得随意丢弃飘浮物。</w:t>
      </w:r>
    </w:p>
    <w:p>
      <w:pPr>
        <w:spacing w:line="360" w:lineRule="exact"/>
        <w:ind w:firstLine="440" w:firstLineChars="200"/>
        <w:rPr>
          <w:rFonts w:asciiTheme="minorEastAsia" w:hAnsiTheme="minorEastAsia"/>
          <w:sz w:val="22"/>
        </w:rPr>
      </w:pPr>
      <w:r>
        <w:rPr>
          <w:rFonts w:asciiTheme="minorEastAsia" w:hAnsiTheme="minorEastAsia"/>
          <w:sz w:val="22"/>
        </w:rPr>
        <w:t>（二）乙方应从事的空防安全管理</w:t>
      </w:r>
    </w:p>
    <w:p>
      <w:pPr>
        <w:spacing w:line="360" w:lineRule="exact"/>
        <w:ind w:firstLine="440" w:firstLineChars="200"/>
        <w:rPr>
          <w:rFonts w:asciiTheme="minorEastAsia" w:hAnsiTheme="minorEastAsia"/>
          <w:sz w:val="22"/>
        </w:rPr>
      </w:pPr>
      <w:r>
        <w:rPr>
          <w:rFonts w:asciiTheme="minorEastAsia" w:hAnsiTheme="minorEastAsia"/>
          <w:sz w:val="22"/>
        </w:rPr>
        <w:t>27、必须严格遵守机场安全管理的各项规章制度。属于机场不停航施工项目或需进入机场控制区施工的项目，其人员和车辆实行机场控制区通行证管理制度，即上述区域施工的人员和车辆一律办理机场公安局统一制发的通行证，凭证进入施工现场。</w:t>
      </w:r>
    </w:p>
    <w:p>
      <w:pPr>
        <w:spacing w:line="360" w:lineRule="exact"/>
        <w:ind w:firstLine="440" w:firstLineChars="200"/>
        <w:rPr>
          <w:rFonts w:asciiTheme="minorEastAsia" w:hAnsiTheme="minorEastAsia"/>
          <w:sz w:val="22"/>
        </w:rPr>
      </w:pPr>
      <w:r>
        <w:rPr>
          <w:rFonts w:asciiTheme="minorEastAsia" w:hAnsiTheme="minorEastAsia"/>
          <w:sz w:val="22"/>
        </w:rPr>
        <w:t>28、通行证的办理遵从《杭州萧山国际机场控制区通行证管理办法》。在申请办理人员通行征时应当提供真实有效的身份证明、证照及其它相关资料，并进行背景调查，防止有违法、犯罪记录的人员进入施工队伍；在申请办理车辆通行证时应当提供车辆、设备的有效证件和检验记录，并对其真实性负责。上述通行证由乙方提出申请，报甲方备案，办证费用由乙方自理。</w:t>
      </w:r>
    </w:p>
    <w:p>
      <w:pPr>
        <w:spacing w:line="360" w:lineRule="exact"/>
        <w:ind w:firstLine="440" w:firstLineChars="200"/>
        <w:rPr>
          <w:rFonts w:asciiTheme="minorEastAsia" w:hAnsiTheme="minorEastAsia"/>
          <w:sz w:val="22"/>
        </w:rPr>
      </w:pPr>
      <w:r>
        <w:rPr>
          <w:rFonts w:asciiTheme="minorEastAsia" w:hAnsiTheme="minorEastAsia"/>
          <w:sz w:val="22"/>
        </w:rPr>
        <w:t>29、需进入机场控制区施工的人员和车辆需主动接受机场管理人员的检查，并服从机场相关职能部门的监管，无通行证者一律不得进入。</w:t>
      </w:r>
    </w:p>
    <w:p>
      <w:pPr>
        <w:spacing w:line="360" w:lineRule="exact"/>
        <w:ind w:firstLine="440" w:firstLineChars="200"/>
        <w:rPr>
          <w:rFonts w:asciiTheme="minorEastAsia" w:hAnsiTheme="minorEastAsia"/>
          <w:sz w:val="22"/>
        </w:rPr>
      </w:pPr>
      <w:r>
        <w:rPr>
          <w:rFonts w:asciiTheme="minorEastAsia" w:hAnsiTheme="minorEastAsia"/>
          <w:sz w:val="22"/>
        </w:rPr>
        <w:t>30、应当加强通行证的管理，建立管理台帐。通行证仅限持证本人、本车使用，严禁转借、涂改和冒用；持证人员发生调离、辞退、开除等情况的，应及时收回通行证交由甲方报机场公安机关注销；如发生人员和车辆通行证遗失的，应在第一时间向甲方报告；持证车辆重新调配或报废的，应及时将通行证交由甲方申报注销。上述环节因乙方管理不力发生问题的，乙方应承担由此引发的一切后果和责任。</w:t>
      </w:r>
    </w:p>
    <w:p>
      <w:pPr>
        <w:spacing w:line="360" w:lineRule="exact"/>
        <w:ind w:firstLine="440" w:firstLineChars="200"/>
        <w:rPr>
          <w:rFonts w:asciiTheme="minorEastAsia" w:hAnsiTheme="minorEastAsia"/>
          <w:sz w:val="22"/>
        </w:rPr>
      </w:pPr>
      <w:r>
        <w:rPr>
          <w:rFonts w:asciiTheme="minorEastAsia" w:hAnsiTheme="minorEastAsia"/>
          <w:sz w:val="22"/>
        </w:rPr>
        <w:t>（三）乙方应从事的不停航施工项目安全管理</w:t>
      </w:r>
    </w:p>
    <w:p>
      <w:pPr>
        <w:spacing w:line="360" w:lineRule="exact"/>
        <w:ind w:firstLine="440" w:firstLineChars="200"/>
        <w:rPr>
          <w:rFonts w:asciiTheme="minorEastAsia" w:hAnsiTheme="minorEastAsia"/>
          <w:sz w:val="22"/>
        </w:rPr>
      </w:pPr>
      <w:r>
        <w:rPr>
          <w:rFonts w:asciiTheme="minorEastAsia" w:hAnsiTheme="minorEastAsia"/>
          <w:sz w:val="22"/>
        </w:rPr>
        <w:t>31、不停航施工是指在机场不关闭并按照航班计划接受和放行航空器的情况下，在飞行区、部分航站区内实施工程作业。不停航施工的项目单位，必须严格遵守《民用机场运行安全管理规定》（CCAR－140）及杭州萧山国际机场有关安全管理规定进行施工。</w:t>
      </w:r>
    </w:p>
    <w:p>
      <w:pPr>
        <w:spacing w:line="360" w:lineRule="exact"/>
        <w:ind w:firstLine="440" w:firstLineChars="200"/>
        <w:rPr>
          <w:rFonts w:asciiTheme="minorEastAsia" w:hAnsiTheme="minorEastAsia"/>
          <w:sz w:val="22"/>
        </w:rPr>
      </w:pPr>
      <w:r>
        <w:rPr>
          <w:rFonts w:asciiTheme="minorEastAsia" w:hAnsiTheme="minorEastAsia"/>
          <w:sz w:val="22"/>
        </w:rPr>
        <w:t>32、在机场有飞行任务期间，禁止在跑道端之外300米以内、跑道中心线两侧75米以内的区域进行任何施工作业。如乙方需在跑道端300米以外、跑道中心线两侧75米以外区域施工的，机具、车辆的高度不得穿透障碍物限制面。除特别批准外，在滑行道、机坪道面边线以外施工的，应当与道（坪）边线保持7.5米加上本机场使用最大机型翼展宽度0.5倍的距离。</w:t>
      </w:r>
    </w:p>
    <w:p>
      <w:pPr>
        <w:spacing w:line="360" w:lineRule="exact"/>
        <w:ind w:firstLine="440" w:firstLineChars="200"/>
        <w:rPr>
          <w:rFonts w:asciiTheme="minorEastAsia" w:hAnsiTheme="minorEastAsia"/>
          <w:sz w:val="22"/>
        </w:rPr>
      </w:pPr>
      <w:r>
        <w:rPr>
          <w:rFonts w:asciiTheme="minorEastAsia" w:hAnsiTheme="minorEastAsia"/>
          <w:sz w:val="22"/>
        </w:rPr>
        <w:t>33、实行不停航施工的区域，开挖的明沟和施工材料堆放处，必须根据甲方要求用桔黄色小旗标识以示警告；在低能见度的白天和夜间，应当按照甲方要求加设红色恒定灯光；材料和临时堆放的施工垃圾应当采取防止被风或飞机尾流吹散的措施。</w:t>
      </w:r>
    </w:p>
    <w:p>
      <w:pPr>
        <w:spacing w:line="360" w:lineRule="exact"/>
        <w:ind w:firstLine="440" w:firstLineChars="200"/>
        <w:rPr>
          <w:rFonts w:asciiTheme="minorEastAsia" w:hAnsiTheme="minorEastAsia"/>
          <w:sz w:val="22"/>
        </w:rPr>
      </w:pPr>
      <w:r>
        <w:rPr>
          <w:rFonts w:asciiTheme="minorEastAsia" w:hAnsiTheme="minorEastAsia"/>
          <w:sz w:val="22"/>
        </w:rPr>
        <w:t>34、施工机具须停放在指定安全区域内。机场开放运行期间，必须严格控制施工机械的活动范围，杜绝出现机具、车辆侵入隔离区或超越机场净空限制面等情况。</w:t>
      </w:r>
    </w:p>
    <w:p>
      <w:pPr>
        <w:spacing w:line="360" w:lineRule="exact"/>
        <w:ind w:firstLine="440" w:firstLineChars="200"/>
        <w:rPr>
          <w:rFonts w:asciiTheme="minorEastAsia" w:hAnsiTheme="minorEastAsia"/>
          <w:sz w:val="22"/>
        </w:rPr>
      </w:pPr>
      <w:r>
        <w:rPr>
          <w:rFonts w:asciiTheme="minorEastAsia" w:hAnsiTheme="minorEastAsia"/>
          <w:sz w:val="22"/>
        </w:rPr>
        <w:t xml:space="preserve">（四）乙方的文明施工责任 </w:t>
      </w:r>
    </w:p>
    <w:p>
      <w:pPr>
        <w:spacing w:line="360" w:lineRule="exact"/>
        <w:ind w:firstLine="440" w:firstLineChars="200"/>
        <w:rPr>
          <w:rFonts w:asciiTheme="minorEastAsia" w:hAnsiTheme="minorEastAsia"/>
          <w:sz w:val="22"/>
        </w:rPr>
      </w:pPr>
      <w:r>
        <w:rPr>
          <w:rFonts w:asciiTheme="minorEastAsia" w:hAnsiTheme="minorEastAsia"/>
          <w:sz w:val="22"/>
        </w:rPr>
        <w:t>35、按照《建筑施工安全检查标准》JGJ59—99的标准和浙江省、杭州市有关文明施工检查评分标准做好文明施工，保证施工项目文明施工合格。</w:t>
      </w:r>
    </w:p>
    <w:p>
      <w:pPr>
        <w:spacing w:line="360" w:lineRule="exact"/>
        <w:ind w:firstLine="220" w:firstLineChars="100"/>
        <w:rPr>
          <w:rFonts w:asciiTheme="minorEastAsia" w:hAnsiTheme="minorEastAsia"/>
          <w:sz w:val="22"/>
        </w:rPr>
      </w:pPr>
      <w:r>
        <w:rPr>
          <w:rFonts w:asciiTheme="minorEastAsia" w:hAnsiTheme="minorEastAsia"/>
          <w:sz w:val="22"/>
        </w:rPr>
        <w:t xml:space="preserve">  36、建筑材料、构件、料具必须按施工现场总平面布置图堆放，布置合理，并有标识。如有易燃易爆物品应有专门场所分类堆放，专人负责，符合相关消防规定，确保安全。</w:t>
      </w:r>
    </w:p>
    <w:p>
      <w:pPr>
        <w:spacing w:line="360" w:lineRule="exact"/>
        <w:ind w:firstLine="440" w:firstLineChars="200"/>
        <w:rPr>
          <w:rFonts w:asciiTheme="minorEastAsia" w:hAnsiTheme="minorEastAsia"/>
          <w:sz w:val="22"/>
        </w:rPr>
      </w:pPr>
      <w:r>
        <w:rPr>
          <w:rFonts w:asciiTheme="minorEastAsia" w:hAnsiTheme="minorEastAsia"/>
          <w:sz w:val="22"/>
        </w:rPr>
        <w:t>37、在施工现场建立清扫制度，落实到人，做到工完料尽场地清，车辆进出场应有防泥带出措施。建筑垃圾及时清运，并堆放到甲方指定地点。土方外运过程，严格按程序操作，不得在机场内外遗洒，应有避免扬尘的措施。</w:t>
      </w:r>
    </w:p>
    <w:p>
      <w:pPr>
        <w:spacing w:line="360" w:lineRule="exact"/>
        <w:ind w:firstLine="440" w:firstLineChars="200"/>
        <w:rPr>
          <w:rFonts w:asciiTheme="minorEastAsia" w:hAnsiTheme="minorEastAsia"/>
          <w:sz w:val="22"/>
        </w:rPr>
      </w:pPr>
      <w:r>
        <w:rPr>
          <w:rFonts w:asciiTheme="minorEastAsia" w:hAnsiTheme="minorEastAsia"/>
          <w:sz w:val="22"/>
        </w:rPr>
        <w:t>（五）乙方应从事的社会治安综合治理</w:t>
      </w:r>
    </w:p>
    <w:p>
      <w:pPr>
        <w:spacing w:line="360" w:lineRule="exact"/>
        <w:ind w:firstLine="440" w:firstLineChars="200"/>
        <w:rPr>
          <w:rFonts w:asciiTheme="minorEastAsia" w:hAnsiTheme="minorEastAsia"/>
          <w:sz w:val="22"/>
        </w:rPr>
      </w:pPr>
      <w:r>
        <w:rPr>
          <w:rFonts w:asciiTheme="minorEastAsia" w:hAnsiTheme="minorEastAsia"/>
          <w:sz w:val="22"/>
        </w:rPr>
        <w:t>38、做好内部的治安防范工作，对重要部位和物资，要落实人防、物防和技防的措施，积极配合公安机关组织的治安联防活动。</w:t>
      </w:r>
    </w:p>
    <w:p>
      <w:pPr>
        <w:spacing w:line="360" w:lineRule="exact"/>
        <w:ind w:firstLine="440" w:firstLineChars="200"/>
        <w:rPr>
          <w:rFonts w:asciiTheme="minorEastAsia" w:hAnsiTheme="minorEastAsia"/>
          <w:sz w:val="22"/>
        </w:rPr>
      </w:pPr>
      <w:r>
        <w:rPr>
          <w:rFonts w:asciiTheme="minorEastAsia" w:hAnsiTheme="minorEastAsia"/>
          <w:sz w:val="22"/>
        </w:rPr>
        <w:t>39、认真排查、调处各类矛盾，及时消除隐患，杜绝各类社会矛盾引发的群体性事件的发生。</w:t>
      </w:r>
    </w:p>
    <w:p>
      <w:pPr>
        <w:spacing w:line="360" w:lineRule="exact"/>
        <w:ind w:firstLine="440" w:firstLineChars="200"/>
        <w:rPr>
          <w:rFonts w:asciiTheme="minorEastAsia" w:hAnsiTheme="minorEastAsia"/>
          <w:sz w:val="22"/>
        </w:rPr>
      </w:pPr>
      <w:r>
        <w:rPr>
          <w:rFonts w:asciiTheme="minorEastAsia" w:hAnsiTheme="minorEastAsia"/>
          <w:sz w:val="22"/>
        </w:rPr>
        <w:t>40、制定包括重大安全生产事故、重大道路交通事故、重大消防安全事故、重大刑事案件以及群体性事件等突发性事件在内的应急处置预案，一旦发生，及时报告甲方和上级主管部门并做好处置工作。</w:t>
      </w:r>
    </w:p>
    <w:p>
      <w:pPr>
        <w:spacing w:line="360" w:lineRule="exact"/>
        <w:ind w:firstLine="440" w:firstLineChars="200"/>
        <w:rPr>
          <w:rFonts w:asciiTheme="minorEastAsia" w:hAnsiTheme="minorEastAsia"/>
          <w:sz w:val="22"/>
        </w:rPr>
      </w:pPr>
      <w:r>
        <w:rPr>
          <w:rFonts w:asciiTheme="minorEastAsia" w:hAnsiTheme="minorEastAsia"/>
          <w:sz w:val="22"/>
        </w:rPr>
        <w:t>（六）乙方应从事的消防安全管理</w:t>
      </w:r>
    </w:p>
    <w:p>
      <w:pPr>
        <w:spacing w:line="360" w:lineRule="exact"/>
        <w:ind w:firstLine="440" w:firstLineChars="200"/>
        <w:rPr>
          <w:rFonts w:asciiTheme="minorEastAsia" w:hAnsiTheme="minorEastAsia"/>
          <w:sz w:val="22"/>
        </w:rPr>
      </w:pPr>
      <w:r>
        <w:rPr>
          <w:rFonts w:asciiTheme="minorEastAsia" w:hAnsiTheme="minorEastAsia"/>
          <w:sz w:val="22"/>
        </w:rPr>
        <w:t>41、遵守国家消防法律法规，建立和健全消防管理规章制度，明确消防安全责任人，健全消防安全网络（配备专职或兼职消防员），建立消防应急队伍，并报甲方和机场公安局消防部门备案。</w:t>
      </w:r>
    </w:p>
    <w:p>
      <w:pPr>
        <w:spacing w:line="360" w:lineRule="exact"/>
        <w:ind w:firstLine="440" w:firstLineChars="200"/>
        <w:rPr>
          <w:rFonts w:asciiTheme="minorEastAsia" w:hAnsiTheme="minorEastAsia"/>
          <w:sz w:val="22"/>
        </w:rPr>
      </w:pPr>
      <w:r>
        <w:rPr>
          <w:rFonts w:asciiTheme="minorEastAsia" w:hAnsiTheme="minorEastAsia"/>
          <w:sz w:val="22"/>
        </w:rPr>
        <w:t>42、制定用火、用电、使用易燃材料等各项消防安全操作规程，设置消防通道、消防水源、配备必须的消防设备和灭火器材，并在重点场所重点部位设置消防警示标志。</w:t>
      </w:r>
    </w:p>
    <w:p>
      <w:pPr>
        <w:spacing w:line="360" w:lineRule="exact"/>
        <w:ind w:firstLine="440" w:firstLineChars="200"/>
        <w:rPr>
          <w:rFonts w:asciiTheme="minorEastAsia" w:hAnsiTheme="minorEastAsia"/>
          <w:sz w:val="22"/>
        </w:rPr>
      </w:pPr>
      <w:r>
        <w:rPr>
          <w:rFonts w:asciiTheme="minorEastAsia" w:hAnsiTheme="minorEastAsia"/>
          <w:sz w:val="22"/>
        </w:rPr>
        <w:t>43、施工中使用明火，使用电、气进行焊接和切割作业，须经机场公安消防管理部门审查批准，未经批准一律不得使用。</w:t>
      </w:r>
    </w:p>
    <w:p>
      <w:pPr>
        <w:spacing w:line="360" w:lineRule="exact"/>
        <w:ind w:firstLine="440" w:firstLineChars="200"/>
        <w:rPr>
          <w:rFonts w:asciiTheme="minorEastAsia" w:hAnsiTheme="minorEastAsia"/>
          <w:sz w:val="22"/>
        </w:rPr>
      </w:pPr>
      <w:r>
        <w:rPr>
          <w:rFonts w:asciiTheme="minorEastAsia" w:hAnsiTheme="minorEastAsia"/>
          <w:sz w:val="22"/>
        </w:rPr>
        <w:t>44、加强对施工人员进行消防安全教育，使其熟悉本岗位防火措施、遇险报警、初期扑救及自救逃生的知识和技能。</w:t>
      </w:r>
    </w:p>
    <w:p>
      <w:pPr>
        <w:spacing w:line="360" w:lineRule="exact"/>
        <w:ind w:firstLine="440" w:firstLineChars="200"/>
        <w:rPr>
          <w:rFonts w:asciiTheme="minorEastAsia" w:hAnsiTheme="minorEastAsia"/>
          <w:sz w:val="22"/>
        </w:rPr>
      </w:pPr>
      <w:r>
        <w:rPr>
          <w:rFonts w:asciiTheme="minorEastAsia" w:hAnsiTheme="minorEastAsia"/>
          <w:sz w:val="22"/>
        </w:rPr>
        <w:t>（七）乙方应从事的交通安全管理</w:t>
      </w:r>
    </w:p>
    <w:p>
      <w:pPr>
        <w:spacing w:line="360" w:lineRule="exact"/>
        <w:ind w:firstLine="440" w:firstLineChars="200"/>
        <w:rPr>
          <w:rFonts w:asciiTheme="minorEastAsia" w:hAnsiTheme="minorEastAsia"/>
          <w:sz w:val="22"/>
        </w:rPr>
      </w:pPr>
      <w:r>
        <w:rPr>
          <w:rFonts w:asciiTheme="minorEastAsia" w:hAnsiTheme="minorEastAsia"/>
          <w:sz w:val="22"/>
        </w:rPr>
        <w:t>45、加强对下属员工、驾驶人员、承运单位的道路交通安全法律法规宣传教育，车辆进出机场和施工场地均应服从交警及其他交通管理人员的指挥和管理。</w:t>
      </w:r>
    </w:p>
    <w:p>
      <w:pPr>
        <w:spacing w:line="360" w:lineRule="exact"/>
        <w:ind w:firstLine="440" w:firstLineChars="200"/>
        <w:rPr>
          <w:rFonts w:asciiTheme="minorEastAsia" w:hAnsiTheme="minorEastAsia"/>
          <w:sz w:val="22"/>
        </w:rPr>
      </w:pPr>
      <w:r>
        <w:rPr>
          <w:rFonts w:asciiTheme="minorEastAsia" w:hAnsiTheme="minorEastAsia"/>
          <w:sz w:val="22"/>
        </w:rPr>
        <w:t>46、对驾驶人员和承运单位应实行交通安全检查考核制度，签订《交通安全责任书》，配备交通安全联络员对运输车辆驾驶员和施工人员进行交通安全教育，减少或控制交通违法行为地发生，禁止严重影响交通安全的违法行为（如超载、超速、酒后驾驶、逆向行驶等）。</w:t>
      </w:r>
    </w:p>
    <w:p>
      <w:pPr>
        <w:spacing w:line="360" w:lineRule="exact"/>
        <w:ind w:firstLine="440" w:firstLineChars="200"/>
        <w:rPr>
          <w:rFonts w:asciiTheme="minorEastAsia" w:hAnsiTheme="minorEastAsia"/>
          <w:sz w:val="22"/>
        </w:rPr>
      </w:pPr>
      <w:r>
        <w:rPr>
          <w:rFonts w:asciiTheme="minorEastAsia" w:hAnsiTheme="minorEastAsia"/>
          <w:sz w:val="22"/>
        </w:rPr>
        <w:t>47、确保各类运输车辆技术状况良好，不得使用无号牌、无行驶证、无保险和带故障、检验不合格的运输车辆，不得使用拖拉机和农用运输车。</w:t>
      </w:r>
    </w:p>
    <w:p>
      <w:pPr>
        <w:spacing w:line="360" w:lineRule="exact"/>
        <w:ind w:firstLine="440" w:firstLineChars="200"/>
        <w:rPr>
          <w:rFonts w:asciiTheme="minorEastAsia" w:hAnsiTheme="minorEastAsia"/>
          <w:sz w:val="22"/>
        </w:rPr>
      </w:pPr>
      <w:r>
        <w:rPr>
          <w:rFonts w:asciiTheme="minorEastAsia" w:hAnsiTheme="minorEastAsia"/>
          <w:sz w:val="22"/>
        </w:rPr>
        <w:t>48、所有运输车辆均应办理施工通行证并按指定路线和限定速度行驶，不得违反车辆装载规定：超载、超高、超宽。进入控制区施工车辆应开启黄色警示灯。</w:t>
      </w:r>
    </w:p>
    <w:p>
      <w:pPr>
        <w:spacing w:line="360" w:lineRule="exact"/>
        <w:ind w:firstLine="440" w:firstLineChars="200"/>
        <w:rPr>
          <w:rFonts w:asciiTheme="minorEastAsia" w:hAnsiTheme="minorEastAsia"/>
          <w:sz w:val="22"/>
        </w:rPr>
      </w:pPr>
      <w:r>
        <w:rPr>
          <w:rFonts w:asciiTheme="minorEastAsia" w:hAnsiTheme="minorEastAsia"/>
          <w:sz w:val="22"/>
        </w:rPr>
        <w:t>49、占用、挖掘道路，跨越道路架设、铺设管线以及大型机械进出机场须提前与甲方协商，征得甲方和机场公安局交警队同意，并采取防护措施和设置明显警示标志方可实施。</w:t>
      </w:r>
    </w:p>
    <w:p>
      <w:pPr>
        <w:spacing w:line="360" w:lineRule="exact"/>
        <w:ind w:firstLine="442" w:firstLineChars="200"/>
        <w:rPr>
          <w:rFonts w:asciiTheme="minorEastAsia" w:hAnsiTheme="minorEastAsia"/>
          <w:b/>
          <w:sz w:val="22"/>
        </w:rPr>
      </w:pPr>
      <w:r>
        <w:rPr>
          <w:rFonts w:asciiTheme="minorEastAsia" w:hAnsiTheme="minorEastAsia"/>
          <w:b/>
          <w:sz w:val="22"/>
        </w:rPr>
        <w:t>四、违约责任</w:t>
      </w:r>
    </w:p>
    <w:p>
      <w:pPr>
        <w:spacing w:line="360" w:lineRule="exact"/>
        <w:ind w:firstLine="440" w:firstLineChars="200"/>
        <w:rPr>
          <w:rFonts w:asciiTheme="minorEastAsia" w:hAnsiTheme="minorEastAsia"/>
          <w:sz w:val="22"/>
        </w:rPr>
      </w:pPr>
      <w:r>
        <w:rPr>
          <w:rFonts w:asciiTheme="minorEastAsia" w:hAnsiTheme="minorEastAsia"/>
          <w:sz w:val="22"/>
        </w:rPr>
        <w:t>50、本《安全文明施工协议书》是工程施工合同的重要组成部分，乙方必须严格遵守和履行，如有违反，甲方可以追究乙方责任；乙方违约情况严重，或是社会影响恶劣，又或是造成甲方或他方重大损失，甲方可解除施工合同且不须向乙方承担任何补偿、赔偿的责任。</w:t>
      </w:r>
    </w:p>
    <w:p>
      <w:pPr>
        <w:spacing w:line="360" w:lineRule="exact"/>
        <w:ind w:firstLine="440" w:firstLineChars="200"/>
        <w:rPr>
          <w:rFonts w:asciiTheme="minorEastAsia" w:hAnsiTheme="minorEastAsia"/>
          <w:sz w:val="22"/>
        </w:rPr>
      </w:pPr>
      <w:r>
        <w:rPr>
          <w:rFonts w:asciiTheme="minorEastAsia" w:hAnsiTheme="minorEastAsia"/>
          <w:sz w:val="22"/>
        </w:rPr>
        <w:t>51、严禁因乙方行为导致发生飞行事故征侯，违者扣合同总款的20%，如发生飞行事故扣合同年度总款50％，并追究法律责任。</w:t>
      </w:r>
    </w:p>
    <w:p>
      <w:pPr>
        <w:spacing w:line="360" w:lineRule="exact"/>
        <w:ind w:firstLine="440" w:firstLineChars="200"/>
        <w:rPr>
          <w:rFonts w:asciiTheme="minorEastAsia" w:hAnsiTheme="minorEastAsia"/>
          <w:sz w:val="22"/>
        </w:rPr>
      </w:pPr>
      <w:r>
        <w:rPr>
          <w:rFonts w:asciiTheme="minorEastAsia" w:hAnsiTheme="minorEastAsia"/>
          <w:sz w:val="22"/>
        </w:rPr>
        <w:t>五、本协议书附于《施工合同》正副本后，签字盖章后生效。</w:t>
      </w:r>
    </w:p>
    <w:p>
      <w:pPr>
        <w:adjustRightInd w:val="0"/>
        <w:snapToGrid w:val="0"/>
        <w:spacing w:line="360" w:lineRule="exact"/>
        <w:rPr>
          <w:rFonts w:asciiTheme="minorEastAsia" w:hAnsiTheme="minorEastAsia"/>
          <w:b/>
          <w:bCs/>
          <w:sz w:val="22"/>
        </w:rPr>
      </w:pPr>
      <w:r>
        <w:rPr>
          <w:rFonts w:asciiTheme="minorEastAsia" w:hAnsiTheme="minorEastAsia"/>
          <w:b/>
          <w:bCs/>
          <w:sz w:val="22"/>
        </w:rPr>
        <w:t>五、附则：</w:t>
      </w:r>
    </w:p>
    <w:p>
      <w:pPr>
        <w:adjustRightInd w:val="0"/>
        <w:snapToGrid w:val="0"/>
        <w:spacing w:line="360" w:lineRule="exact"/>
        <w:rPr>
          <w:rFonts w:asciiTheme="minorEastAsia" w:hAnsiTheme="minorEastAsia"/>
          <w:sz w:val="22"/>
        </w:rPr>
      </w:pPr>
      <w:r>
        <w:rPr>
          <w:rFonts w:asciiTheme="minorEastAsia" w:hAnsiTheme="minorEastAsia"/>
          <w:sz w:val="22"/>
        </w:rPr>
        <w:t>（一）由于乙方行为违反国家法律、法规和杭州萧山国际机场有限公司有关规章制度和责任书规定内容，甲方有权对乙方进行处罚。乙方触犯法律的，依法追究有关责任人的法律责任。</w:t>
      </w:r>
    </w:p>
    <w:p>
      <w:pPr>
        <w:adjustRightInd w:val="0"/>
        <w:snapToGrid w:val="0"/>
        <w:spacing w:line="360" w:lineRule="exact"/>
        <w:rPr>
          <w:rFonts w:asciiTheme="minorEastAsia" w:hAnsiTheme="minorEastAsia"/>
          <w:sz w:val="22"/>
        </w:rPr>
      </w:pPr>
      <w:r>
        <w:rPr>
          <w:rFonts w:asciiTheme="minorEastAsia" w:hAnsiTheme="minorEastAsia"/>
          <w:sz w:val="22"/>
        </w:rPr>
        <w:t>（二）本责任书解释权归甲方。</w:t>
      </w:r>
    </w:p>
    <w:p>
      <w:pPr>
        <w:adjustRightInd w:val="0"/>
        <w:snapToGrid w:val="0"/>
        <w:spacing w:line="360" w:lineRule="exact"/>
        <w:rPr>
          <w:rFonts w:asciiTheme="minorEastAsia" w:hAnsiTheme="minorEastAsia"/>
          <w:sz w:val="22"/>
        </w:rPr>
      </w:pPr>
      <w:r>
        <w:rPr>
          <w:rFonts w:asciiTheme="minorEastAsia" w:hAnsiTheme="minorEastAsia"/>
          <w:sz w:val="22"/>
        </w:rPr>
        <w:t>（三）本责任书由甲乙双方共同签字盖章后生效。</w:t>
      </w:r>
    </w:p>
    <w:p>
      <w:pPr>
        <w:adjustRightInd w:val="0"/>
        <w:snapToGrid w:val="0"/>
        <w:spacing w:line="360" w:lineRule="exact"/>
        <w:rPr>
          <w:rFonts w:asciiTheme="minorEastAsia" w:hAnsiTheme="minorEastAsia"/>
          <w:sz w:val="22"/>
        </w:rPr>
      </w:pPr>
    </w:p>
    <w:p>
      <w:pPr>
        <w:adjustRightInd w:val="0"/>
        <w:snapToGrid w:val="0"/>
        <w:spacing w:line="360" w:lineRule="exact"/>
        <w:ind w:left="5632" w:hanging="5632" w:hangingChars="2550"/>
        <w:rPr>
          <w:rFonts w:asciiTheme="minorEastAsia" w:hAnsiTheme="minorEastAsia"/>
          <w:b/>
          <w:color w:val="000000"/>
          <w:sz w:val="22"/>
        </w:rPr>
      </w:pPr>
      <w:r>
        <w:rPr>
          <w:rFonts w:hint="eastAsia" w:asciiTheme="minorEastAsia" w:hAnsiTheme="minorEastAsia"/>
          <w:b/>
          <w:color w:val="000000"/>
          <w:sz w:val="22"/>
        </w:rPr>
        <w:t>发包人：                                 承包人：</w:t>
      </w:r>
    </w:p>
    <w:p>
      <w:pPr>
        <w:adjustRightInd w:val="0"/>
        <w:snapToGrid w:val="0"/>
        <w:spacing w:line="360" w:lineRule="exact"/>
        <w:rPr>
          <w:rFonts w:asciiTheme="minorEastAsia" w:hAnsiTheme="minorEastAsia"/>
          <w:b/>
          <w:color w:val="000000"/>
          <w:sz w:val="22"/>
        </w:rPr>
      </w:pPr>
      <w:r>
        <w:rPr>
          <w:rFonts w:hint="eastAsia" w:asciiTheme="minorEastAsia" w:hAnsiTheme="minorEastAsia"/>
          <w:b/>
          <w:color w:val="000000"/>
          <w:sz w:val="22"/>
        </w:rPr>
        <w:t>法定代表人：                             法定代表人</w:t>
      </w:r>
    </w:p>
    <w:p>
      <w:pPr>
        <w:adjustRightInd w:val="0"/>
        <w:snapToGrid w:val="0"/>
        <w:spacing w:line="360" w:lineRule="exact"/>
        <w:rPr>
          <w:rFonts w:asciiTheme="minorEastAsia" w:hAnsiTheme="minorEastAsia"/>
          <w:b/>
          <w:color w:val="000000"/>
          <w:sz w:val="22"/>
        </w:rPr>
      </w:pPr>
    </w:p>
    <w:p>
      <w:pPr>
        <w:adjustRightInd w:val="0"/>
        <w:snapToGrid w:val="0"/>
        <w:spacing w:line="360" w:lineRule="exact"/>
        <w:rPr>
          <w:rFonts w:asciiTheme="minorEastAsia" w:hAnsiTheme="minorEastAsia"/>
          <w:b/>
          <w:color w:val="000000"/>
          <w:sz w:val="22"/>
        </w:rPr>
      </w:pPr>
      <w:r>
        <w:rPr>
          <w:rFonts w:hint="eastAsia" w:asciiTheme="minorEastAsia" w:hAnsiTheme="minorEastAsia"/>
          <w:b/>
          <w:color w:val="000000"/>
          <w:sz w:val="22"/>
        </w:rPr>
        <w:t>委托代理人：                             委托代理人：</w:t>
      </w:r>
    </w:p>
    <w:p>
      <w:pPr>
        <w:spacing w:line="360" w:lineRule="exact"/>
        <w:rPr>
          <w:rFonts w:asciiTheme="minorEastAsia" w:hAnsiTheme="minorEastAsia"/>
          <w:sz w:val="22"/>
        </w:rPr>
      </w:pPr>
    </w:p>
    <w:p>
      <w:pPr>
        <w:adjustRightInd w:val="0"/>
        <w:snapToGrid w:val="0"/>
        <w:spacing w:line="360" w:lineRule="exact"/>
        <w:rPr>
          <w:rFonts w:asciiTheme="minorEastAsia" w:hAnsiTheme="minorEastAsia"/>
          <w:sz w:val="22"/>
        </w:rPr>
      </w:pPr>
      <w:r>
        <w:rPr>
          <w:rFonts w:hint="eastAsia" w:asciiTheme="minorEastAsia" w:hAnsiTheme="minorEastAsia"/>
          <w:b/>
          <w:color w:val="000000"/>
          <w:sz w:val="22"/>
        </w:rPr>
        <w:t xml:space="preserve"> 年   月   日                               年   月   日</w:t>
      </w:r>
    </w:p>
    <w:p>
      <w:pPr>
        <w:rPr>
          <w:rFonts w:cs="宋体" w:asciiTheme="minorEastAsia" w:hAnsiTheme="minorEastAsia"/>
          <w:bCs/>
          <w:sz w:val="22"/>
        </w:rPr>
      </w:pPr>
    </w:p>
    <w:p>
      <w:pPr>
        <w:pStyle w:val="109"/>
        <w:ind w:firstLine="0" w:firstLineChars="0"/>
        <w:rPr>
          <w:rFonts w:ascii="宋体" w:hAnsi="宋体"/>
          <w:color w:val="auto"/>
        </w:rPr>
      </w:pPr>
      <w:r>
        <w:rPr>
          <w:rFonts w:hint="eastAsia" w:ascii="宋体" w:hAnsi="宋体"/>
          <w:color w:val="auto"/>
        </w:rPr>
        <w:br w:type="page"/>
      </w:r>
      <w:r>
        <w:rPr>
          <w:rFonts w:hint="eastAsia" w:ascii="宋体" w:hAnsi="宋体"/>
          <w:color w:val="auto"/>
        </w:rPr>
        <w:t>附件三</w:t>
      </w:r>
    </w:p>
    <w:p>
      <w:pPr>
        <w:pStyle w:val="109"/>
        <w:ind w:firstLine="0" w:firstLineChars="0"/>
        <w:jc w:val="center"/>
        <w:rPr>
          <w:rFonts w:ascii="宋体" w:hAnsi="宋体"/>
          <w:b/>
          <w:color w:val="auto"/>
          <w:sz w:val="36"/>
        </w:rPr>
      </w:pPr>
      <w:r>
        <w:rPr>
          <w:rFonts w:hint="eastAsia" w:ascii="宋体" w:hAnsi="宋体"/>
          <w:b/>
          <w:color w:val="auto"/>
          <w:sz w:val="36"/>
        </w:rPr>
        <w:t>廉洁自律承诺书</w:t>
      </w:r>
    </w:p>
    <w:p>
      <w:pPr>
        <w:pStyle w:val="109"/>
        <w:ind w:firstLine="0" w:firstLineChars="0"/>
        <w:rPr>
          <w:rFonts w:ascii="宋体" w:hAnsi="宋体"/>
          <w:color w:val="auto"/>
        </w:rPr>
      </w:pPr>
    </w:p>
    <w:p>
      <w:pPr>
        <w:pStyle w:val="114"/>
        <w:adjustRightInd w:val="0"/>
        <w:snapToGrid w:val="0"/>
        <w:spacing w:line="500" w:lineRule="exact"/>
        <w:ind w:firstLine="0" w:firstLineChars="0"/>
        <w:rPr>
          <w:rFonts w:ascii="宋体" w:hAnsi="宋体"/>
          <w:sz w:val="22"/>
          <w:szCs w:val="22"/>
        </w:rPr>
      </w:pPr>
      <w:r>
        <w:rPr>
          <w:rFonts w:hint="eastAsia" w:ascii="宋体" w:hAnsi="宋体"/>
          <w:sz w:val="22"/>
          <w:szCs w:val="22"/>
        </w:rPr>
        <w:t>浙江航空开发有限责任公司：</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我单位响应贵公司项目招标（竞争性谈判）要求，参加项目投标（竞争性谈判）。在投标过程中及中标后，我们将严格遵守国家法律法规要求，并郑重承诺：</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一、不以任何形式向贵公司有关人员及部门赠送礼金礼物或其它代币券、回扣、中介费、咨询费等好处费；</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二、不以任何名义为贵公司有关人员及部门报销应由贵公司或个人支付的费用；</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三、不向贵公司有关人员及部门提供有可能影响公正的宴请和健身娱乐等活动；</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四、不为贵公司有关人员出国（境）、旅游等提供方便；</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五、不为贵公司有关人员个人装修住房、婚丧嫁娶、配偶子女工作安排等提供好处；</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六、严格遵守国家招标投标法、政府采购法、合同法等法律规定，诚实守信，合法经营，坚决抵制各种违法违纪行为。若发现贵公司有关人员有故意设置障碍或推诿刁难我方人员参与正常投标及项目建设活动以索要好处等行为将及时向贵公司纪检监察部门举报，举报电话：0571－8666</w:t>
      </w:r>
      <w:r>
        <w:rPr>
          <w:rFonts w:ascii="宋体" w:hAnsi="宋体"/>
          <w:sz w:val="22"/>
          <w:szCs w:val="22"/>
        </w:rPr>
        <w:t>8558</w:t>
      </w:r>
      <w:r>
        <w:rPr>
          <w:rFonts w:hint="eastAsia" w:ascii="宋体" w:hAnsi="宋体"/>
          <w:sz w:val="22"/>
          <w:szCs w:val="22"/>
        </w:rPr>
        <w:t>。</w:t>
      </w:r>
    </w:p>
    <w:p>
      <w:pPr>
        <w:pStyle w:val="114"/>
        <w:adjustRightInd w:val="0"/>
        <w:snapToGrid w:val="0"/>
        <w:spacing w:line="500" w:lineRule="exact"/>
        <w:ind w:firstLine="440"/>
        <w:rPr>
          <w:rFonts w:ascii="宋体" w:hAnsi="宋体"/>
          <w:sz w:val="22"/>
          <w:szCs w:val="22"/>
        </w:rPr>
      </w:pPr>
      <w:r>
        <w:rPr>
          <w:rFonts w:hint="eastAsia" w:ascii="宋体" w:hAnsi="宋体"/>
          <w:sz w:val="22"/>
          <w:szCs w:val="22"/>
        </w:rPr>
        <w:t>如违反上述承诺，贵公司有权立即取消我单位投标、中标或在建项目的实施资格，有权拒绝我单位在一定时期内进入贵公司进行项目建设或其它经营活动。由此引起的相应损失均由我单位承担。</w:t>
      </w:r>
    </w:p>
    <w:p>
      <w:pPr>
        <w:pStyle w:val="114"/>
        <w:adjustRightInd w:val="0"/>
        <w:snapToGrid w:val="0"/>
        <w:spacing w:line="500" w:lineRule="exact"/>
        <w:ind w:firstLine="0" w:firstLineChars="0"/>
        <w:jc w:val="left"/>
        <w:rPr>
          <w:rFonts w:ascii="宋体" w:hAnsi="宋体"/>
          <w:sz w:val="22"/>
          <w:szCs w:val="22"/>
        </w:rPr>
      </w:pPr>
      <w:r>
        <w:rPr>
          <w:rFonts w:hint="eastAsia" w:ascii="宋体" w:hAnsi="宋体"/>
          <w:sz w:val="22"/>
          <w:szCs w:val="22"/>
        </w:rPr>
        <w:t xml:space="preserve">承诺人单位名称（盖章）：            </w:t>
      </w:r>
    </w:p>
    <w:p>
      <w:pPr>
        <w:pStyle w:val="114"/>
        <w:adjustRightInd w:val="0"/>
        <w:snapToGrid w:val="0"/>
        <w:spacing w:line="500" w:lineRule="exact"/>
        <w:ind w:firstLine="0" w:firstLineChars="0"/>
        <w:jc w:val="left"/>
        <w:rPr>
          <w:rFonts w:ascii="宋体" w:hAnsi="宋体"/>
          <w:sz w:val="22"/>
          <w:szCs w:val="22"/>
        </w:rPr>
      </w:pPr>
      <w:r>
        <w:rPr>
          <w:rFonts w:hint="eastAsia" w:ascii="宋体" w:hAnsi="宋体"/>
          <w:sz w:val="22"/>
          <w:szCs w:val="22"/>
        </w:rPr>
        <w:t xml:space="preserve">法定代表人 ：                    </w:t>
      </w:r>
    </w:p>
    <w:p>
      <w:pPr>
        <w:pStyle w:val="114"/>
        <w:adjustRightInd w:val="0"/>
        <w:snapToGrid w:val="0"/>
        <w:spacing w:line="500" w:lineRule="exact"/>
        <w:ind w:firstLine="0" w:firstLineChars="0"/>
        <w:jc w:val="left"/>
        <w:rPr>
          <w:rFonts w:ascii="宋体" w:hAnsi="宋体"/>
          <w:sz w:val="22"/>
          <w:szCs w:val="22"/>
        </w:rPr>
      </w:pPr>
      <w:r>
        <w:rPr>
          <w:rFonts w:hint="eastAsia" w:ascii="宋体" w:hAnsi="宋体"/>
          <w:sz w:val="22"/>
          <w:szCs w:val="22"/>
        </w:rPr>
        <w:t xml:space="preserve">或                            </w:t>
      </w:r>
    </w:p>
    <w:p>
      <w:pPr>
        <w:pStyle w:val="114"/>
        <w:adjustRightInd w:val="0"/>
        <w:snapToGrid w:val="0"/>
        <w:spacing w:line="500" w:lineRule="exact"/>
        <w:ind w:firstLine="0" w:firstLineChars="0"/>
        <w:jc w:val="left"/>
        <w:rPr>
          <w:rFonts w:ascii="宋体" w:hAnsi="宋体"/>
          <w:sz w:val="22"/>
          <w:szCs w:val="22"/>
        </w:rPr>
      </w:pPr>
      <w:r>
        <w:rPr>
          <w:rFonts w:hint="eastAsia" w:ascii="宋体" w:hAnsi="宋体"/>
          <w:sz w:val="22"/>
          <w:szCs w:val="22"/>
        </w:rPr>
        <w:t xml:space="preserve">委托代理人：                   </w:t>
      </w:r>
    </w:p>
    <w:p>
      <w:pPr>
        <w:pStyle w:val="114"/>
        <w:adjustRightInd w:val="0"/>
        <w:snapToGrid w:val="0"/>
        <w:spacing w:line="500" w:lineRule="exact"/>
        <w:ind w:firstLine="0" w:firstLineChars="0"/>
        <w:jc w:val="left"/>
        <w:rPr>
          <w:rFonts w:ascii="宋体" w:hAnsi="宋体"/>
          <w:sz w:val="22"/>
          <w:szCs w:val="22"/>
        </w:rPr>
      </w:pPr>
    </w:p>
    <w:p>
      <w:pPr>
        <w:widowControl/>
        <w:jc w:val="left"/>
        <w:rPr>
          <w:rFonts w:ascii="Cambria" w:hAnsi="Cambria" w:eastAsia="黑体" w:cs="Times New Roman"/>
          <w:b/>
          <w:bCs/>
          <w:kern w:val="0"/>
          <w:sz w:val="32"/>
          <w:szCs w:val="32"/>
        </w:rPr>
      </w:pPr>
      <w:r>
        <w:rPr>
          <w:rFonts w:hint="eastAsia" w:ascii="宋体" w:hAnsi="宋体"/>
          <w:sz w:val="22"/>
        </w:rPr>
        <w:t>签订日期：　年  月  日</w:t>
      </w:r>
    </w:p>
    <w:p>
      <w:pPr>
        <w:widowControl/>
        <w:jc w:val="left"/>
        <w:rPr>
          <w:rFonts w:ascii="Cambria" w:hAnsi="Cambria" w:eastAsia="黑体" w:cs="Times New Roman"/>
          <w:b/>
          <w:bCs/>
          <w:kern w:val="0"/>
          <w:sz w:val="32"/>
          <w:szCs w:val="32"/>
        </w:rPr>
      </w:pPr>
      <w:r>
        <w:br w:type="page"/>
      </w:r>
    </w:p>
    <w:p>
      <w:pPr>
        <w:pStyle w:val="48"/>
      </w:pPr>
      <w:bookmarkStart w:id="94" w:name="_Toc448097407"/>
      <w:r>
        <w:rPr>
          <w:rFonts w:hint="eastAsia"/>
        </w:rPr>
        <w:t>第四章  参考工程量清单</w:t>
      </w:r>
      <w:bookmarkEnd w:id="94"/>
      <w:r>
        <w:rPr>
          <w:rFonts w:hint="eastAsia"/>
        </w:rPr>
        <w:t>（详见附件）</w:t>
      </w:r>
    </w:p>
    <w:p>
      <w:pPr>
        <w:widowControl/>
        <w:jc w:val="left"/>
        <w:rPr>
          <w:rFonts w:ascii="Cambria" w:hAnsi="Cambria" w:eastAsia="黑体" w:cs="Times New Roman"/>
          <w:b/>
          <w:bCs/>
          <w:kern w:val="0"/>
          <w:sz w:val="32"/>
          <w:szCs w:val="32"/>
        </w:rPr>
      </w:pPr>
      <w:r>
        <w:br w:type="page"/>
      </w:r>
    </w:p>
    <w:p>
      <w:pPr>
        <w:pStyle w:val="48"/>
      </w:pPr>
      <w:bookmarkStart w:id="95" w:name="_Toc448097408"/>
      <w:r>
        <w:rPr>
          <w:rFonts w:hint="eastAsia"/>
        </w:rPr>
        <w:t xml:space="preserve">第五章  </w:t>
      </w:r>
      <w:bookmarkEnd w:id="95"/>
      <w:r>
        <w:rPr>
          <w:rFonts w:hint="eastAsia"/>
        </w:rPr>
        <w:t>施工工艺及</w:t>
      </w:r>
      <w:r>
        <w:t>技术要求</w:t>
      </w:r>
    </w:p>
    <w:p>
      <w:pPr>
        <w:pStyle w:val="48"/>
        <w:jc w:val="both"/>
        <w:rPr>
          <w:rFonts w:ascii="仿宋_GB2312" w:hAnsi="仿宋_GB2312" w:eastAsia="仿宋_GB2312" w:cs="仿宋_GB2312"/>
          <w:b w:val="0"/>
          <w:bCs w:val="0"/>
        </w:rPr>
      </w:pPr>
      <w:r>
        <w:rPr>
          <w:rFonts w:hint="eastAsia" w:ascii="仿宋_GB2312" w:hAnsi="仿宋_GB2312" w:eastAsia="仿宋_GB2312" w:cs="仿宋_GB2312"/>
          <w:b w:val="0"/>
          <w:bCs w:val="0"/>
        </w:rPr>
        <w:t>一、项目概况</w:t>
      </w:r>
    </w:p>
    <w:p>
      <w:r>
        <w:rPr>
          <w:rFonts w:hint="eastAsia"/>
        </w:rPr>
        <w:t>1</w:t>
      </w:r>
      <w:r>
        <w:t>.1项目基本概况</w:t>
      </w:r>
    </w:p>
    <w:tbl>
      <w:tblPr>
        <w:tblStyle w:val="53"/>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268"/>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46" w:type="dxa"/>
            <w:vAlign w:val="center"/>
          </w:tcPr>
          <w:p>
            <w:pPr>
              <w:rPr>
                <w:kern w:val="0"/>
                <w:sz w:val="24"/>
                <w:szCs w:val="24"/>
              </w:rPr>
            </w:pPr>
            <w:r>
              <w:rPr>
                <w:rFonts w:hint="eastAsia"/>
                <w:kern w:val="0"/>
                <w:sz w:val="24"/>
                <w:szCs w:val="24"/>
              </w:rPr>
              <w:t>序号</w:t>
            </w:r>
          </w:p>
        </w:tc>
        <w:tc>
          <w:tcPr>
            <w:tcW w:w="2268" w:type="dxa"/>
            <w:vAlign w:val="center"/>
          </w:tcPr>
          <w:p>
            <w:pPr>
              <w:jc w:val="center"/>
              <w:rPr>
                <w:kern w:val="0"/>
                <w:sz w:val="24"/>
                <w:szCs w:val="24"/>
              </w:rPr>
            </w:pPr>
            <w:r>
              <w:rPr>
                <w:rFonts w:hint="eastAsia"/>
                <w:kern w:val="0"/>
                <w:sz w:val="24"/>
                <w:szCs w:val="24"/>
              </w:rPr>
              <w:t>项目</w:t>
            </w:r>
          </w:p>
        </w:tc>
        <w:tc>
          <w:tcPr>
            <w:tcW w:w="5386" w:type="dxa"/>
            <w:vAlign w:val="center"/>
          </w:tcPr>
          <w:p>
            <w:pPr>
              <w:jc w:val="center"/>
              <w:rPr>
                <w:kern w:val="0"/>
                <w:sz w:val="24"/>
                <w:szCs w:val="24"/>
              </w:rPr>
            </w:pPr>
            <w:r>
              <w:rPr>
                <w:rFonts w:hint="eastAsia"/>
                <w:kern w:val="0"/>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46" w:type="dxa"/>
            <w:vAlign w:val="center"/>
          </w:tcPr>
          <w:p>
            <w:pPr>
              <w:jc w:val="center"/>
              <w:rPr>
                <w:kern w:val="0"/>
                <w:sz w:val="24"/>
                <w:szCs w:val="24"/>
              </w:rPr>
            </w:pPr>
            <w:r>
              <w:rPr>
                <w:rFonts w:hint="eastAsia"/>
                <w:kern w:val="0"/>
                <w:sz w:val="24"/>
                <w:szCs w:val="24"/>
              </w:rPr>
              <w:t>1</w:t>
            </w:r>
          </w:p>
        </w:tc>
        <w:tc>
          <w:tcPr>
            <w:tcW w:w="2268" w:type="dxa"/>
            <w:vAlign w:val="center"/>
          </w:tcPr>
          <w:p>
            <w:pPr>
              <w:jc w:val="center"/>
              <w:rPr>
                <w:kern w:val="0"/>
                <w:sz w:val="24"/>
                <w:szCs w:val="24"/>
              </w:rPr>
            </w:pPr>
            <w:r>
              <w:rPr>
                <w:rFonts w:hint="eastAsia"/>
                <w:kern w:val="0"/>
                <w:sz w:val="24"/>
                <w:szCs w:val="24"/>
              </w:rPr>
              <w:t>项目名称</w:t>
            </w:r>
          </w:p>
        </w:tc>
        <w:tc>
          <w:tcPr>
            <w:tcW w:w="5386" w:type="dxa"/>
            <w:vAlign w:val="center"/>
          </w:tcPr>
          <w:p>
            <w:pPr>
              <w:rPr>
                <w:kern w:val="0"/>
                <w:sz w:val="24"/>
                <w:szCs w:val="24"/>
              </w:rPr>
            </w:pPr>
            <w:r>
              <w:rPr>
                <w:rFonts w:hint="eastAsia"/>
                <w:kern w:val="0"/>
                <w:sz w:val="24"/>
                <w:szCs w:val="24"/>
              </w:rPr>
              <w:t>浙江航空开发有限责任公司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846" w:type="dxa"/>
            <w:vAlign w:val="center"/>
          </w:tcPr>
          <w:p>
            <w:pPr>
              <w:jc w:val="center"/>
              <w:rPr>
                <w:kern w:val="0"/>
                <w:sz w:val="24"/>
                <w:szCs w:val="24"/>
              </w:rPr>
            </w:pPr>
            <w:r>
              <w:rPr>
                <w:rFonts w:hint="eastAsia"/>
                <w:kern w:val="0"/>
                <w:sz w:val="24"/>
                <w:szCs w:val="24"/>
              </w:rPr>
              <w:t>2</w:t>
            </w:r>
          </w:p>
        </w:tc>
        <w:tc>
          <w:tcPr>
            <w:tcW w:w="2268" w:type="dxa"/>
            <w:vAlign w:val="center"/>
          </w:tcPr>
          <w:p>
            <w:pPr>
              <w:jc w:val="center"/>
              <w:rPr>
                <w:kern w:val="0"/>
                <w:sz w:val="24"/>
                <w:szCs w:val="24"/>
              </w:rPr>
            </w:pPr>
            <w:r>
              <w:rPr>
                <w:rFonts w:hint="eastAsia"/>
                <w:kern w:val="0"/>
                <w:sz w:val="24"/>
                <w:szCs w:val="24"/>
              </w:rPr>
              <w:t>项目地点</w:t>
            </w:r>
          </w:p>
        </w:tc>
        <w:tc>
          <w:tcPr>
            <w:tcW w:w="5386" w:type="dxa"/>
            <w:vAlign w:val="center"/>
          </w:tcPr>
          <w:p>
            <w:pPr>
              <w:rPr>
                <w:kern w:val="0"/>
                <w:sz w:val="24"/>
                <w:szCs w:val="24"/>
              </w:rPr>
            </w:pPr>
            <w:r>
              <w:rPr>
                <w:rFonts w:hint="eastAsia"/>
                <w:kern w:val="0"/>
                <w:sz w:val="24"/>
                <w:szCs w:val="24"/>
              </w:rPr>
              <w:t>杭州萧山国际机场内药品仓储基地3#库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46" w:type="dxa"/>
            <w:vAlign w:val="center"/>
          </w:tcPr>
          <w:p>
            <w:pPr>
              <w:jc w:val="center"/>
              <w:rPr>
                <w:kern w:val="0"/>
                <w:sz w:val="24"/>
                <w:szCs w:val="24"/>
              </w:rPr>
            </w:pPr>
            <w:r>
              <w:rPr>
                <w:rFonts w:hint="eastAsia"/>
                <w:kern w:val="0"/>
                <w:sz w:val="24"/>
                <w:szCs w:val="24"/>
              </w:rPr>
              <w:t>3</w:t>
            </w:r>
          </w:p>
        </w:tc>
        <w:tc>
          <w:tcPr>
            <w:tcW w:w="2268" w:type="dxa"/>
            <w:vAlign w:val="center"/>
          </w:tcPr>
          <w:p>
            <w:pPr>
              <w:jc w:val="center"/>
              <w:rPr>
                <w:kern w:val="0"/>
                <w:sz w:val="24"/>
                <w:szCs w:val="24"/>
              </w:rPr>
            </w:pPr>
            <w:r>
              <w:rPr>
                <w:rFonts w:hint="eastAsia"/>
                <w:kern w:val="0"/>
                <w:sz w:val="24"/>
                <w:szCs w:val="24"/>
              </w:rPr>
              <w:t>屋面面积</w:t>
            </w:r>
          </w:p>
        </w:tc>
        <w:tc>
          <w:tcPr>
            <w:tcW w:w="5386" w:type="dxa"/>
            <w:vAlign w:val="center"/>
          </w:tcPr>
          <w:p>
            <w:pPr>
              <w:rPr>
                <w:kern w:val="0"/>
                <w:sz w:val="24"/>
                <w:szCs w:val="24"/>
              </w:rPr>
            </w:pPr>
            <w:r>
              <w:rPr>
                <w:rFonts w:hint="eastAsia"/>
                <w:kern w:val="0"/>
                <w:sz w:val="24"/>
                <w:szCs w:val="24"/>
              </w:rPr>
              <w:t>4</w:t>
            </w:r>
            <w:r>
              <w:rPr>
                <w:kern w:val="0"/>
                <w:sz w:val="24"/>
                <w:szCs w:val="24"/>
              </w:rPr>
              <w:t>8×120</w:t>
            </w:r>
            <w:r>
              <w:rPr>
                <w:rFonts w:hint="eastAsia"/>
                <w:kern w:val="0"/>
                <w:sz w:val="24"/>
                <w:szCs w:val="24"/>
              </w:rPr>
              <w:t>=</w:t>
            </w:r>
            <w:r>
              <w:rPr>
                <w:kern w:val="0"/>
                <w:sz w:val="24"/>
                <w:szCs w:val="24"/>
              </w:rPr>
              <w:t>5760m2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46" w:type="dxa"/>
            <w:vAlign w:val="center"/>
          </w:tcPr>
          <w:p>
            <w:pPr>
              <w:jc w:val="center"/>
              <w:rPr>
                <w:kern w:val="0"/>
                <w:sz w:val="24"/>
                <w:szCs w:val="24"/>
              </w:rPr>
            </w:pPr>
            <w:r>
              <w:rPr>
                <w:rFonts w:hint="eastAsia"/>
                <w:kern w:val="0"/>
                <w:sz w:val="24"/>
                <w:szCs w:val="24"/>
              </w:rPr>
              <w:t>4</w:t>
            </w:r>
          </w:p>
        </w:tc>
        <w:tc>
          <w:tcPr>
            <w:tcW w:w="2268" w:type="dxa"/>
            <w:vAlign w:val="center"/>
          </w:tcPr>
          <w:p>
            <w:pPr>
              <w:jc w:val="center"/>
              <w:rPr>
                <w:kern w:val="0"/>
                <w:sz w:val="24"/>
                <w:szCs w:val="24"/>
              </w:rPr>
            </w:pPr>
            <w:r>
              <w:rPr>
                <w:rFonts w:hint="eastAsia"/>
                <w:kern w:val="0"/>
                <w:sz w:val="24"/>
                <w:szCs w:val="24"/>
              </w:rPr>
              <w:t>建筑性质</w:t>
            </w:r>
          </w:p>
        </w:tc>
        <w:tc>
          <w:tcPr>
            <w:tcW w:w="5386" w:type="dxa"/>
            <w:vAlign w:val="center"/>
          </w:tcPr>
          <w:p>
            <w:pPr>
              <w:rPr>
                <w:kern w:val="0"/>
                <w:sz w:val="24"/>
                <w:szCs w:val="24"/>
              </w:rPr>
            </w:pPr>
            <w:r>
              <w:rPr>
                <w:rFonts w:hint="eastAsia"/>
                <w:kern w:val="0"/>
                <w:sz w:val="24"/>
                <w:szCs w:val="24"/>
              </w:rPr>
              <w:t>药品仓库库房</w:t>
            </w:r>
          </w:p>
        </w:tc>
      </w:tr>
    </w:tbl>
    <w:p>
      <w:r>
        <w:rPr>
          <w:rFonts w:hint="eastAsia"/>
        </w:rPr>
        <w:t>1</w:t>
      </w:r>
      <w:r>
        <w:t>.2建筑设计概况</w:t>
      </w:r>
    </w:p>
    <w:p/>
    <w:tbl>
      <w:tblPr>
        <w:tblStyle w:val="53"/>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268"/>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46" w:type="dxa"/>
            <w:vAlign w:val="center"/>
          </w:tcPr>
          <w:p>
            <w:pPr>
              <w:widowControl/>
              <w:jc w:val="center"/>
              <w:rPr>
                <w:rFonts w:cs="Times New Roman" w:asciiTheme="minorEastAsia" w:hAnsiTheme="minorEastAsia"/>
                <w:kern w:val="0"/>
                <w:sz w:val="24"/>
                <w:szCs w:val="24"/>
                <w:lang w:bidi="ar"/>
              </w:rPr>
            </w:pPr>
            <w:bookmarkStart w:id="96" w:name="_Toc448097409"/>
            <w:bookmarkStart w:id="97" w:name="_Toc275274581"/>
            <w:r>
              <w:rPr>
                <w:rFonts w:cs="Times New Roman" w:asciiTheme="minorEastAsia" w:hAnsiTheme="minorEastAsia"/>
                <w:kern w:val="0"/>
                <w:sz w:val="24"/>
                <w:szCs w:val="24"/>
                <w:lang w:bidi="ar"/>
              </w:rPr>
              <w:t>序号</w:t>
            </w:r>
          </w:p>
        </w:tc>
        <w:tc>
          <w:tcPr>
            <w:tcW w:w="2268" w:type="dxa"/>
            <w:vAlign w:val="center"/>
          </w:tcPr>
          <w:p>
            <w:pPr>
              <w:widowControl/>
              <w:jc w:val="center"/>
              <w:rPr>
                <w:rFonts w:cs="Times New Roman" w:asciiTheme="minorEastAsia" w:hAnsiTheme="minorEastAsia"/>
                <w:kern w:val="0"/>
                <w:sz w:val="24"/>
                <w:szCs w:val="24"/>
                <w:lang w:bidi="ar"/>
              </w:rPr>
            </w:pPr>
            <w:r>
              <w:rPr>
                <w:rFonts w:cs="Times New Roman" w:asciiTheme="minorEastAsia" w:hAnsiTheme="minorEastAsia"/>
                <w:kern w:val="0"/>
                <w:sz w:val="24"/>
                <w:szCs w:val="24"/>
                <w:lang w:bidi="ar"/>
              </w:rPr>
              <w:t>项目</w:t>
            </w:r>
          </w:p>
        </w:tc>
        <w:tc>
          <w:tcPr>
            <w:tcW w:w="5386" w:type="dxa"/>
            <w:vAlign w:val="center"/>
          </w:tcPr>
          <w:p>
            <w:pPr>
              <w:widowControl/>
              <w:jc w:val="center"/>
              <w:rPr>
                <w:rFonts w:cs="Times New Roman" w:asciiTheme="minorEastAsia" w:hAnsiTheme="minorEastAsia"/>
                <w:kern w:val="0"/>
                <w:sz w:val="24"/>
                <w:szCs w:val="24"/>
                <w:lang w:bidi="ar"/>
              </w:rPr>
            </w:pPr>
            <w:r>
              <w:rPr>
                <w:rFonts w:cs="Times New Roman" w:asciiTheme="minorEastAsia" w:hAnsiTheme="minorEastAsia"/>
                <w:kern w:val="0"/>
                <w:sz w:val="24"/>
                <w:szCs w:val="24"/>
                <w:lang w:bidi="ar"/>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846" w:type="dxa"/>
            <w:vAlign w:val="center"/>
          </w:tcPr>
          <w:p>
            <w:pPr>
              <w:widowControl/>
              <w:jc w:val="center"/>
              <w:rPr>
                <w:rFonts w:ascii="仿宋_GB2312" w:hAnsi="Times New Roman" w:eastAsia="仿宋_GB2312" w:cs="Times New Roman"/>
                <w:kern w:val="0"/>
                <w:sz w:val="28"/>
                <w:szCs w:val="28"/>
                <w:lang w:bidi="ar"/>
              </w:rPr>
            </w:pPr>
            <w:r>
              <w:rPr>
                <w:rFonts w:hint="eastAsia" w:ascii="仿宋_GB2312" w:hAnsi="Times New Roman" w:eastAsia="仿宋_GB2312" w:cs="Times New Roman"/>
                <w:kern w:val="0"/>
                <w:sz w:val="28"/>
                <w:szCs w:val="28"/>
                <w:lang w:bidi="ar"/>
              </w:rPr>
              <w:t>1</w:t>
            </w:r>
          </w:p>
        </w:tc>
        <w:tc>
          <w:tcPr>
            <w:tcW w:w="2268" w:type="dxa"/>
            <w:vAlign w:val="center"/>
          </w:tcPr>
          <w:p>
            <w:pPr>
              <w:rPr>
                <w:kern w:val="0"/>
                <w:sz w:val="24"/>
                <w:szCs w:val="24"/>
              </w:rPr>
            </w:pPr>
            <w:r>
              <w:rPr>
                <w:rFonts w:hint="eastAsia" w:ascii="宋体" w:hAnsi="宋体"/>
                <w:color w:val="000000"/>
                <w:kern w:val="0"/>
                <w:sz w:val="24"/>
                <w:szCs w:val="24"/>
              </w:rPr>
              <w:t>现有屋面</w:t>
            </w:r>
            <w:r>
              <w:rPr>
                <w:kern w:val="0"/>
                <w:sz w:val="24"/>
                <w:szCs w:val="24"/>
              </w:rPr>
              <w:t>概述</w:t>
            </w:r>
          </w:p>
        </w:tc>
        <w:tc>
          <w:tcPr>
            <w:tcW w:w="5386" w:type="dxa"/>
            <w:vAlign w:val="center"/>
          </w:tcPr>
          <w:p>
            <w:pPr>
              <w:pStyle w:val="125"/>
              <w:numPr>
                <w:ilvl w:val="0"/>
                <w:numId w:val="6"/>
              </w:numPr>
              <w:autoSpaceDE w:val="0"/>
              <w:autoSpaceDN w:val="0"/>
              <w:spacing w:line="240" w:lineRule="exact"/>
              <w:ind w:firstLineChars="0"/>
              <w:jc w:val="left"/>
              <w:rPr>
                <w:rFonts w:ascii="宋体" w:hAnsi="宋体"/>
                <w:color w:val="000000"/>
                <w:kern w:val="0"/>
              </w:rPr>
            </w:pPr>
            <w:r>
              <w:rPr>
                <w:rFonts w:hint="eastAsia" w:ascii="宋体" w:hAnsi="宋体"/>
                <w:color w:val="000000"/>
                <w:kern w:val="0"/>
              </w:rPr>
              <w:t>相关屋面为宽度48m，共2坡，设置有2道天沟，1道屋脊；</w:t>
            </w:r>
          </w:p>
          <w:p>
            <w:pPr>
              <w:pStyle w:val="125"/>
              <w:numPr>
                <w:ilvl w:val="0"/>
                <w:numId w:val="6"/>
              </w:numPr>
              <w:autoSpaceDE w:val="0"/>
              <w:autoSpaceDN w:val="0"/>
              <w:spacing w:line="240" w:lineRule="exact"/>
              <w:ind w:firstLineChars="0"/>
              <w:jc w:val="left"/>
              <w:rPr>
                <w:rFonts w:ascii="宋体" w:hAnsi="宋体"/>
                <w:color w:val="000000"/>
                <w:kern w:val="0"/>
              </w:rPr>
            </w:pPr>
            <w:r>
              <w:rPr>
                <w:rFonts w:hint="eastAsia" w:ascii="宋体" w:hAnsi="宋体"/>
                <w:color w:val="000000"/>
                <w:kern w:val="0"/>
              </w:rPr>
              <w:t>四周设有女儿墙，最高处墙高约2m；</w:t>
            </w:r>
          </w:p>
          <w:p>
            <w:pPr>
              <w:autoSpaceDE w:val="0"/>
              <w:autoSpaceDN w:val="0"/>
              <w:spacing w:line="310" w:lineRule="exact"/>
              <w:jc w:val="left"/>
              <w:rPr>
                <w:rFonts w:ascii="宋体" w:hAnsi="宋体"/>
                <w:color w:val="000000"/>
                <w:kern w:val="0"/>
                <w:sz w:val="24"/>
                <w:szCs w:val="24"/>
              </w:rPr>
            </w:pPr>
            <w:r>
              <w:rPr>
                <w:rFonts w:hint="eastAsia" w:ascii="宋体" w:hAnsi="宋体"/>
                <w:color w:val="000000"/>
                <w:kern w:val="0"/>
                <w:sz w:val="24"/>
                <w:szCs w:val="24"/>
              </w:rPr>
              <w:t>3、屋面未设置通风器和采光带。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46" w:type="dxa"/>
            <w:vAlign w:val="center"/>
          </w:tcPr>
          <w:p>
            <w:pPr>
              <w:widowControl/>
              <w:jc w:val="center"/>
              <w:rPr>
                <w:rFonts w:ascii="仿宋_GB2312" w:hAnsi="Times New Roman" w:eastAsia="仿宋_GB2312" w:cs="Times New Roman"/>
                <w:kern w:val="0"/>
                <w:sz w:val="28"/>
                <w:szCs w:val="28"/>
                <w:lang w:bidi="ar"/>
              </w:rPr>
            </w:pPr>
            <w:r>
              <w:rPr>
                <w:rFonts w:hint="eastAsia" w:ascii="仿宋_GB2312" w:hAnsi="Times New Roman" w:eastAsia="仿宋_GB2312" w:cs="Times New Roman"/>
                <w:kern w:val="0"/>
                <w:sz w:val="28"/>
                <w:szCs w:val="28"/>
                <w:lang w:bidi="ar"/>
              </w:rPr>
              <w:t>2</w:t>
            </w:r>
          </w:p>
        </w:tc>
        <w:tc>
          <w:tcPr>
            <w:tcW w:w="2268" w:type="dxa"/>
            <w:vAlign w:val="center"/>
          </w:tcPr>
          <w:p>
            <w:pPr>
              <w:rPr>
                <w:rFonts w:ascii="仿宋_GB2312" w:hAnsi="Times New Roman" w:eastAsia="仿宋_GB2312" w:cs="Times New Roman"/>
                <w:kern w:val="0"/>
                <w:sz w:val="24"/>
                <w:szCs w:val="24"/>
                <w:lang w:bidi="ar"/>
              </w:rPr>
            </w:pPr>
            <w:r>
              <w:rPr>
                <w:kern w:val="0"/>
                <w:sz w:val="24"/>
                <w:szCs w:val="24"/>
              </w:rPr>
              <w:t>现有屋面做法</w:t>
            </w:r>
          </w:p>
        </w:tc>
        <w:tc>
          <w:tcPr>
            <w:tcW w:w="5386" w:type="dxa"/>
            <w:vAlign w:val="center"/>
          </w:tcPr>
          <w:p>
            <w:pPr>
              <w:autoSpaceDE w:val="0"/>
              <w:autoSpaceDN w:val="0"/>
              <w:spacing w:line="240" w:lineRule="exact"/>
              <w:jc w:val="left"/>
              <w:rPr>
                <w:rFonts w:ascii="宋体" w:hAnsi="宋体"/>
                <w:color w:val="000000"/>
                <w:kern w:val="0"/>
                <w:sz w:val="24"/>
                <w:szCs w:val="24"/>
              </w:rPr>
            </w:pPr>
            <w:r>
              <w:rPr>
                <w:rFonts w:hint="eastAsia" w:ascii="宋体" w:hAnsi="宋体"/>
                <w:color w:val="000000"/>
                <w:kern w:val="0"/>
                <w:sz w:val="24"/>
                <w:szCs w:val="24"/>
              </w:rPr>
              <w:t>屋面坡度10%，彩钢板，板型角驰760型。</w:t>
            </w:r>
          </w:p>
        </w:tc>
      </w:tr>
    </w:tbl>
    <w:p>
      <w:pPr>
        <w:widowControl/>
        <w:jc w:val="left"/>
        <w:rPr>
          <w:rFonts w:ascii="仿宋_GB2312" w:hAnsi="仿宋_GB2312" w:eastAsia="仿宋_GB2312" w:cs="仿宋_GB2312"/>
          <w:kern w:val="0"/>
          <w:sz w:val="24"/>
          <w:szCs w:val="24"/>
        </w:rPr>
      </w:pPr>
      <w:r>
        <w:rPr>
          <w:rFonts w:hint="eastAsia"/>
        </w:rPr>
        <w:t>1</w:t>
      </w:r>
      <w:r>
        <w:t>.3屋面现状</w:t>
      </w:r>
      <w:r>
        <w:rPr>
          <w:rFonts w:hint="eastAsia"/>
        </w:rPr>
        <w:t>（组织集中勘察现场，意向投标者务必到场实地查看现场）</w:t>
      </w:r>
    </w:p>
    <w:p>
      <w:pPr>
        <w:widowControl/>
        <w:jc w:val="left"/>
      </w:pPr>
    </w:p>
    <w:p>
      <w:pPr>
        <w:pStyle w:val="125"/>
        <w:ind w:left="480" w:firstLine="0" w:firstLineChars="0"/>
        <w:rPr>
          <w:kern w:val="0"/>
          <w:sz w:val="22"/>
          <w:szCs w:val="22"/>
        </w:rPr>
      </w:pPr>
      <w:r>
        <w:drawing>
          <wp:inline distT="0" distB="0" distL="0" distR="0">
            <wp:extent cx="5305425" cy="3209925"/>
            <wp:effectExtent l="0" t="0" r="9525" b="9525"/>
            <wp:docPr id="3" name="图片 3" descr="C:\Users\LENOVO\AppData\Local\Temp\ksohtml19776\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AppData\Local\Temp\ksohtml19776\wps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305425" cy="3209925"/>
                    </a:xfrm>
                    <a:prstGeom prst="rect">
                      <a:avLst/>
                    </a:prstGeom>
                    <a:noFill/>
                    <a:ln>
                      <a:noFill/>
                    </a:ln>
                  </pic:spPr>
                </pic:pic>
              </a:graphicData>
            </a:graphic>
          </wp:inline>
        </w:drawing>
      </w:r>
    </w:p>
    <w:p>
      <w:pPr>
        <w:pStyle w:val="125"/>
        <w:widowControl/>
        <w:ind w:left="480" w:firstLine="0" w:firstLineChars="0"/>
        <w:jc w:val="left"/>
        <w:rPr>
          <w:rFonts w:ascii="仿宋_GB2312" w:hAnsi="仿宋_GB2312" w:eastAsia="仿宋_GB2312" w:cs="仿宋_GB2312"/>
          <w:kern w:val="0"/>
          <w:sz w:val="32"/>
          <w:szCs w:val="32"/>
        </w:rPr>
      </w:pPr>
    </w:p>
    <w:p>
      <w:pPr>
        <w:pStyle w:val="125"/>
        <w:widowControl/>
        <w:ind w:left="480" w:firstLine="0" w:firstLineChars="0"/>
        <w:jc w:val="left"/>
        <w:rPr>
          <w:rFonts w:ascii="仿宋_GB2312" w:hAnsi="仿宋_GB2312" w:eastAsia="仿宋_GB2312" w:cs="仿宋_GB2312"/>
          <w:kern w:val="0"/>
          <w:sz w:val="32"/>
          <w:szCs w:val="32"/>
        </w:rPr>
      </w:pPr>
    </w:p>
    <w:p>
      <w:pPr>
        <w:pStyle w:val="125"/>
        <w:widowControl/>
        <w:ind w:left="480" w:firstLine="0" w:firstLineChars="0"/>
        <w:jc w:val="left"/>
        <w:rPr>
          <w:rFonts w:ascii="仿宋_GB2312" w:hAnsi="仿宋_GB2312" w:eastAsia="仿宋_GB2312" w:cs="仿宋_GB2312"/>
          <w:kern w:val="0"/>
          <w:sz w:val="32"/>
          <w:szCs w:val="32"/>
        </w:rPr>
      </w:pPr>
    </w:p>
    <w:p>
      <w:pPr>
        <w:pStyle w:val="125"/>
        <w:widowControl/>
        <w:ind w:left="480" w:firstLine="0" w:firstLineChars="0"/>
        <w:jc w:val="left"/>
        <w:rPr>
          <w:rFonts w:ascii="仿宋_GB2312" w:hAnsi="仿宋_GB2312" w:eastAsia="仿宋_GB2312" w:cs="仿宋_GB2312"/>
          <w:kern w:val="0"/>
          <w:sz w:val="32"/>
          <w:szCs w:val="32"/>
        </w:rPr>
      </w:pPr>
    </w:p>
    <w:p>
      <w:pPr>
        <w:pStyle w:val="125"/>
        <w:widowControl/>
        <w:ind w:left="480" w:firstLine="0" w:firstLineChars="0"/>
        <w:jc w:val="left"/>
        <w:rPr>
          <w:rFonts w:ascii="仿宋_GB2312" w:hAnsi="仿宋_GB2312" w:eastAsia="仿宋_GB2312" w:cs="仿宋_GB2312"/>
          <w:kern w:val="0"/>
          <w:sz w:val="32"/>
          <w:szCs w:val="32"/>
        </w:rPr>
      </w:pPr>
    </w:p>
    <w:p>
      <w:pPr>
        <w:pStyle w:val="125"/>
        <w:numPr>
          <w:ilvl w:val="0"/>
          <w:numId w:val="4"/>
        </w:numPr>
        <w:autoSpaceDE w:val="0"/>
        <w:autoSpaceDN w:val="0"/>
        <w:spacing w:line="293" w:lineRule="exact"/>
        <w:ind w:firstLineChars="0"/>
        <w:jc w:val="left"/>
        <w:rPr>
          <w:rFonts w:ascii="宋体" w:hAnsi="宋体"/>
          <w:color w:val="000000"/>
          <w:sz w:val="28"/>
          <w:szCs w:val="28"/>
        </w:rPr>
      </w:pPr>
      <w:r>
        <w:rPr>
          <w:rFonts w:hint="eastAsia" w:ascii="宋体" w:hAnsi="宋体"/>
          <w:color w:val="000000"/>
          <w:sz w:val="28"/>
          <w:szCs w:val="28"/>
        </w:rPr>
        <w:t>现状问题及维修方案</w:t>
      </w:r>
    </w:p>
    <w:p>
      <w:pPr>
        <w:autoSpaceDE w:val="0"/>
        <w:autoSpaceDN w:val="0"/>
        <w:spacing w:line="293" w:lineRule="exact"/>
        <w:jc w:val="left"/>
        <w:rPr>
          <w:rFonts w:ascii="宋体" w:hAnsi="宋体"/>
          <w:color w:val="000000"/>
          <w:kern w:val="0"/>
          <w:sz w:val="28"/>
          <w:szCs w:val="28"/>
        </w:rPr>
      </w:pPr>
      <w:r>
        <w:rPr>
          <w:rFonts w:ascii="宋体" w:hAnsi="宋体"/>
          <w:color w:val="000000"/>
          <w:kern w:val="0"/>
          <w:sz w:val="28"/>
          <w:szCs w:val="28"/>
        </w:rPr>
        <w:t>2.1屋脊</w:t>
      </w:r>
    </w:p>
    <w:p>
      <w:pPr>
        <w:autoSpaceDE w:val="0"/>
        <w:autoSpaceDN w:val="0"/>
        <w:spacing w:line="293" w:lineRule="exact"/>
        <w:jc w:val="left"/>
        <w:rPr>
          <w:rFonts w:ascii="宋体" w:hAnsi="宋体"/>
          <w:color w:val="000000"/>
          <w:kern w:val="0"/>
          <w:sz w:val="28"/>
          <w:szCs w:val="28"/>
        </w:rPr>
      </w:pPr>
      <w:r>
        <w:drawing>
          <wp:anchor distT="0" distB="0" distL="114300" distR="114300" simplePos="0" relativeHeight="251661312" behindDoc="0" locked="0" layoutInCell="1" allowOverlap="1">
            <wp:simplePos x="0" y="0"/>
            <wp:positionH relativeFrom="margin">
              <wp:posOffset>-22860</wp:posOffset>
            </wp:positionH>
            <wp:positionV relativeFrom="paragraph">
              <wp:posOffset>113665</wp:posOffset>
            </wp:positionV>
            <wp:extent cx="5437505" cy="328549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437505" cy="3285490"/>
                    </a:xfrm>
                    <a:prstGeom prst="rect">
                      <a:avLst/>
                    </a:prstGeom>
                  </pic:spPr>
                </pic:pic>
              </a:graphicData>
            </a:graphic>
          </wp:anchor>
        </w:drawing>
      </w: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autoSpaceDE w:val="0"/>
        <w:autoSpaceDN w:val="0"/>
        <w:spacing w:line="293" w:lineRule="exact"/>
        <w:jc w:val="left"/>
        <w:rPr>
          <w:rFonts w:ascii="宋体" w:hAnsi="宋体"/>
          <w:color w:val="000000"/>
          <w:kern w:val="0"/>
          <w:sz w:val="28"/>
          <w:szCs w:val="28"/>
        </w:rPr>
      </w:pPr>
    </w:p>
    <w:p>
      <w:pPr>
        <w:rPr>
          <w:kern w:val="0"/>
          <w:sz w:val="22"/>
        </w:rPr>
      </w:pPr>
      <w:r>
        <w:rPr>
          <w:rFonts w:hint="eastAsia" w:ascii="宋体" w:hAnsi="宋体"/>
          <w:color w:val="FFFFFF"/>
          <w:sz w:val="24"/>
          <w:szCs w:val="24"/>
        </w:rPr>
        <w:t>型问题</w:t>
      </w:r>
    </w:p>
    <w:p>
      <w:pPr>
        <w:autoSpaceDE w:val="0"/>
        <w:autoSpaceDN w:val="0"/>
        <w:spacing w:line="240" w:lineRule="exact"/>
        <w:jc w:val="left"/>
        <w:rPr>
          <w:rFonts w:ascii="宋体" w:hAnsi="宋体"/>
          <w:color w:val="FFFFFF"/>
          <w:kern w:val="0"/>
          <w:sz w:val="24"/>
          <w:szCs w:val="24"/>
        </w:rPr>
      </w:pPr>
      <w:r>
        <w:rPr>
          <w:rFonts w:hint="eastAsia" w:ascii="宋体" w:hAnsi="宋体"/>
          <w:color w:val="FFFFFF"/>
          <w:sz w:val="24"/>
          <w:szCs w:val="24"/>
        </w:rPr>
        <w:t>维修方案脊典型问题</w:t>
      </w:r>
    </w:p>
    <w:p>
      <w:pPr>
        <w:rPr>
          <w:b/>
          <w:kern w:val="0"/>
          <w:sz w:val="24"/>
          <w:szCs w:val="24"/>
        </w:rPr>
      </w:pPr>
      <w:r>
        <w:rPr>
          <w:b/>
          <w:kern w:val="0"/>
          <w:sz w:val="24"/>
          <w:szCs w:val="24"/>
        </w:rPr>
        <w:t>维修方案</w:t>
      </w:r>
      <w:r>
        <w:rPr>
          <w:rFonts w:hint="eastAsia"/>
          <w:b/>
          <w:kern w:val="0"/>
          <w:sz w:val="24"/>
          <w:szCs w:val="24"/>
        </w:rPr>
        <w:t>：</w:t>
      </w:r>
    </w:p>
    <w:p>
      <w:pPr>
        <w:widowControl/>
        <w:jc w:val="left"/>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1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①</w:t>
      </w:r>
      <w:r>
        <w:rPr>
          <w:rFonts w:ascii="仿宋_GB2312" w:hAnsi="Times New Roman" w:eastAsia="仿宋_GB2312" w:cs="Times New Roman"/>
          <w:sz w:val="28"/>
          <w:szCs w:val="28"/>
          <w:lang w:bidi="ar"/>
        </w:rPr>
        <w:fldChar w:fldCharType="end"/>
      </w:r>
      <w:r>
        <w:rPr>
          <w:rFonts w:ascii="仿宋_GB2312" w:hAnsi="Times New Roman" w:eastAsia="仿宋_GB2312" w:cs="Times New Roman"/>
          <w:sz w:val="28"/>
          <w:szCs w:val="28"/>
          <w:lang w:bidi="ar"/>
        </w:rPr>
        <w:t>剪切掉屋脊盖板在屋面板波峰处的三角形切角部分</w:t>
      </w:r>
      <w:r>
        <w:rPr>
          <w:rFonts w:hint="eastAsia" w:ascii="仿宋_GB2312" w:hAnsi="Times New Roman" w:eastAsia="仿宋_GB2312" w:cs="Times New Roman"/>
          <w:sz w:val="28"/>
          <w:szCs w:val="28"/>
          <w:lang w:bidi="ar"/>
        </w:rPr>
        <w:t>；</w:t>
      </w:r>
    </w:p>
    <w:p>
      <w:pPr>
        <w:widowControl/>
        <w:jc w:val="left"/>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2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②</w:t>
      </w:r>
      <w:r>
        <w:rPr>
          <w:rFonts w:ascii="仿宋_GB2312" w:hAnsi="Times New Roman" w:eastAsia="仿宋_GB2312" w:cs="Times New Roman"/>
          <w:sz w:val="28"/>
          <w:szCs w:val="28"/>
          <w:lang w:bidi="ar"/>
        </w:rPr>
        <w:fldChar w:fldCharType="end"/>
      </w:r>
      <w:r>
        <w:rPr>
          <w:rFonts w:ascii="仿宋_GB2312" w:hAnsi="Times New Roman" w:eastAsia="仿宋_GB2312" w:cs="Times New Roman"/>
          <w:sz w:val="28"/>
          <w:szCs w:val="28"/>
          <w:lang w:bidi="ar"/>
        </w:rPr>
        <w:t>总体检查所有自攻钉</w:t>
      </w:r>
      <w:r>
        <w:rPr>
          <w:rFonts w:hint="eastAsia" w:ascii="仿宋_GB2312" w:hAnsi="Times New Roman" w:eastAsia="仿宋_GB2312" w:cs="Times New Roman"/>
          <w:sz w:val="28"/>
          <w:szCs w:val="28"/>
          <w:lang w:bidi="ar"/>
        </w:rPr>
        <w:t>，</w:t>
      </w:r>
      <w:r>
        <w:rPr>
          <w:rFonts w:ascii="仿宋_GB2312" w:hAnsi="Times New Roman" w:eastAsia="仿宋_GB2312" w:cs="Times New Roman"/>
          <w:sz w:val="28"/>
          <w:szCs w:val="28"/>
          <w:lang w:bidi="ar"/>
        </w:rPr>
        <w:t>使用新钉替换生锈的自攻钉</w:t>
      </w:r>
      <w:r>
        <w:rPr>
          <w:rFonts w:hint="eastAsia" w:ascii="仿宋_GB2312" w:hAnsi="Times New Roman" w:eastAsia="仿宋_GB2312" w:cs="Times New Roman"/>
          <w:sz w:val="28"/>
          <w:szCs w:val="28"/>
          <w:lang w:bidi="ar"/>
        </w:rPr>
        <w:t>；</w:t>
      </w:r>
    </w:p>
    <w:p>
      <w:pPr>
        <w:widowControl/>
        <w:jc w:val="left"/>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3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③</w:t>
      </w:r>
      <w:r>
        <w:rPr>
          <w:rFonts w:ascii="仿宋_GB2312" w:hAnsi="Times New Roman" w:eastAsia="仿宋_GB2312" w:cs="Times New Roman"/>
          <w:sz w:val="28"/>
          <w:szCs w:val="28"/>
          <w:lang w:bidi="ar"/>
        </w:rPr>
        <w:fldChar w:fldCharType="end"/>
      </w:r>
      <w:r>
        <w:rPr>
          <w:rFonts w:ascii="仿宋_GB2312" w:hAnsi="Times New Roman" w:eastAsia="仿宋_GB2312" w:cs="Times New Roman"/>
          <w:sz w:val="28"/>
          <w:szCs w:val="28"/>
          <w:lang w:bidi="ar"/>
        </w:rPr>
        <w:t>屋脊盖板两侧</w:t>
      </w:r>
      <w:r>
        <w:rPr>
          <w:rFonts w:hint="eastAsia" w:ascii="仿宋_GB2312" w:hAnsi="Times New Roman" w:eastAsia="仿宋_GB2312" w:cs="Times New Roman"/>
          <w:sz w:val="28"/>
          <w:szCs w:val="28"/>
          <w:lang w:bidi="ar"/>
        </w:rPr>
        <w:t>、</w:t>
      </w:r>
      <w:r>
        <w:rPr>
          <w:rFonts w:ascii="仿宋_GB2312" w:hAnsi="Times New Roman" w:eastAsia="仿宋_GB2312" w:cs="Times New Roman"/>
          <w:sz w:val="28"/>
          <w:szCs w:val="28"/>
          <w:lang w:bidi="ar"/>
        </w:rPr>
        <w:t>相互搭接处及与山墙交接处</w:t>
      </w:r>
      <w:r>
        <w:rPr>
          <w:rFonts w:hint="eastAsia" w:ascii="仿宋_GB2312" w:hAnsi="Times New Roman" w:eastAsia="仿宋_GB2312" w:cs="Times New Roman"/>
          <w:sz w:val="28"/>
          <w:szCs w:val="28"/>
          <w:lang w:bidi="ar"/>
        </w:rPr>
        <w:t>，</w:t>
      </w:r>
      <w:r>
        <w:rPr>
          <w:rFonts w:ascii="仿宋_GB2312" w:hAnsi="Times New Roman" w:eastAsia="仿宋_GB2312" w:cs="Times New Roman"/>
          <w:sz w:val="28"/>
          <w:szCs w:val="28"/>
          <w:lang w:bidi="ar"/>
        </w:rPr>
        <w:t>清理表面脏污及防水材料</w:t>
      </w:r>
      <w:r>
        <w:rPr>
          <w:rFonts w:hint="eastAsia" w:ascii="仿宋_GB2312" w:hAnsi="Times New Roman" w:eastAsia="仿宋_GB2312" w:cs="Times New Roman"/>
          <w:sz w:val="28"/>
          <w:szCs w:val="28"/>
          <w:lang w:bidi="ar"/>
        </w:rPr>
        <w:t>；</w:t>
      </w:r>
    </w:p>
    <w:p>
      <w:pPr>
        <w:autoSpaceDE w:val="0"/>
        <w:autoSpaceDN w:val="0"/>
        <w:jc w:val="left"/>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4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④</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在屋脊盖板与屋面板交接的波谷处，安装L型连接件使用缝合钉分别与屋面</w:t>
      </w:r>
    </w:p>
    <w:p>
      <w:pPr>
        <w:autoSpaceDE w:val="0"/>
        <w:autoSpaceDN w:val="0"/>
        <w:jc w:val="left"/>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板和屋脊盖板固定，将屋脊盖板与屋面板连接到一起；</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5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⑤</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屋脊盖板相互搭接处，使用缝合钉加固连接，缝合钉间隔100mm一个；</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6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⑥</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屋脊盖板两端与山墙交接处，使用缝合钉加固连接；</w:t>
      </w:r>
    </w:p>
    <w:p>
      <w:pPr>
        <w:autoSpaceDE w:val="0"/>
        <w:autoSpaceDN w:val="0"/>
        <w:jc w:val="left"/>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7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⑦</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对屋脊盖板两侧、屋脊盖板相互搭接处、屋脊盖板端部，使用金属屋面专用丙烯酸高弹防水涂料（国标JG/T375-2012）“一布五涂”密封防水处理。</w:t>
      </w:r>
    </w:p>
    <w:p>
      <w:pPr>
        <w:autoSpaceDE w:val="0"/>
        <w:autoSpaceDN w:val="0"/>
        <w:spacing w:line="468" w:lineRule="exact"/>
        <w:jc w:val="left"/>
        <w:rPr>
          <w:rFonts w:ascii="仿宋_GB2312" w:hAnsi="Times New Roman" w:eastAsia="仿宋_GB2312" w:cs="Times New Roman"/>
          <w:sz w:val="28"/>
          <w:szCs w:val="28"/>
          <w:lang w:bidi="ar"/>
        </w:rPr>
      </w:pPr>
    </w:p>
    <w:p>
      <w:pPr>
        <w:rPr>
          <w:b/>
          <w:kern w:val="0"/>
          <w:sz w:val="24"/>
          <w:szCs w:val="24"/>
        </w:rPr>
      </w:pPr>
      <w:r>
        <w:rPr>
          <w:rFonts w:hint="eastAsia"/>
          <w:b/>
          <w:kern w:val="0"/>
          <w:sz w:val="24"/>
          <w:szCs w:val="24"/>
        </w:rPr>
        <w:t>施工技术要求：</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1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①</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涂刷第一遍基层涂料，然后贴高强聚酯布，再涂刷第二遍基层涂料；间隔2-4小时，等前面涂层实干后，涂刷第三遍基层涂料；再间隔2-3小时，等前面</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涂层实干后，涂刷第四遍面层涂料；等前面涂层实干后，涂刷第五遍面层涂</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料。最终成膜厚度≥1.2mm。</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2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②</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屋脊盖板相互搭接位置，涂料覆盖宽度为150mm。</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3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③</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屋脊盖板侧面，涂料覆盖宽度为250mm。</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4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④</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屋脊盖板两端与山墙交接处，涂料覆盖宽度为350mm。</w:t>
      </w:r>
    </w:p>
    <w:p>
      <w:pPr>
        <w:rPr>
          <w:kern w:val="0"/>
          <w:sz w:val="22"/>
        </w:rPr>
      </w:pPr>
    </w:p>
    <w:p>
      <w:pPr>
        <w:rPr>
          <w:kern w:val="0"/>
          <w:sz w:val="22"/>
        </w:rPr>
      </w:pPr>
    </w:p>
    <w:p>
      <w:pPr>
        <w:rPr>
          <w:rFonts w:ascii="宋体" w:hAnsi="宋体"/>
          <w:color w:val="000000"/>
          <w:kern w:val="0"/>
          <w:sz w:val="28"/>
          <w:szCs w:val="28"/>
        </w:rPr>
      </w:pPr>
      <w:r>
        <w:rPr>
          <w:rFonts w:hint="eastAsia" w:ascii="宋体" w:hAnsi="宋体"/>
          <w:color w:val="000000"/>
          <w:kern w:val="0"/>
          <w:sz w:val="28"/>
          <w:szCs w:val="28"/>
        </w:rPr>
        <w:t>2</w:t>
      </w:r>
      <w:r>
        <w:rPr>
          <w:rFonts w:ascii="宋体" w:hAnsi="宋体"/>
          <w:color w:val="000000"/>
          <w:kern w:val="0"/>
          <w:sz w:val="28"/>
          <w:szCs w:val="28"/>
        </w:rPr>
        <w:t>.2山墙</w:t>
      </w:r>
    </w:p>
    <w:p>
      <w:pPr>
        <w:rPr>
          <w:rFonts w:ascii="仿宋_GB2312" w:hAnsi="Times New Roman" w:eastAsia="仿宋_GB2312" w:cs="Times New Roman"/>
          <w:sz w:val="28"/>
          <w:szCs w:val="28"/>
          <w:lang w:bidi="ar"/>
        </w:rPr>
      </w:pPr>
      <w:r>
        <w:drawing>
          <wp:inline distT="0" distB="0" distL="0" distR="0">
            <wp:extent cx="5229225" cy="46310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33398" cy="4635040"/>
                    </a:xfrm>
                    <a:prstGeom prst="rect">
                      <a:avLst/>
                    </a:prstGeom>
                  </pic:spPr>
                </pic:pic>
              </a:graphicData>
            </a:graphic>
          </wp:inline>
        </w:drawing>
      </w:r>
    </w:p>
    <w:p>
      <w:pPr>
        <w:rPr>
          <w:b/>
          <w:kern w:val="0"/>
          <w:sz w:val="24"/>
          <w:szCs w:val="24"/>
        </w:rPr>
      </w:pPr>
    </w:p>
    <w:p>
      <w:pPr>
        <w:rPr>
          <w:b/>
          <w:kern w:val="0"/>
          <w:sz w:val="24"/>
          <w:szCs w:val="24"/>
        </w:rPr>
      </w:pPr>
      <w:r>
        <w:rPr>
          <w:b/>
          <w:kern w:val="0"/>
          <w:sz w:val="24"/>
          <w:szCs w:val="24"/>
        </w:rPr>
        <w:t>维修方案</w:t>
      </w:r>
      <w:r>
        <w:rPr>
          <w:rFonts w:hint="eastAsia"/>
          <w:b/>
          <w:kern w:val="0"/>
          <w:sz w:val="24"/>
          <w:szCs w:val="24"/>
        </w:rPr>
        <w:t>：</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1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①</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各接缝位置清理老化密封材料，涂料涂刷范围表面脏污清理；</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2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②</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锈蚀部位，除锈后，涂刷带锈转换剂做防锈处理；</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3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③</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压顶板相互搭接处，缝合钉加固，缝合钉间隔100mm一颗；</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4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④</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女儿墙下泛水板相互搭接处，缝合钉加固，缝合钉间隔100mm一颗；</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5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⑤</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女儿墙下泛水板与屋面板交接处，缝合钉加固，缝合钉间隔300mm一颗；</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6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⑥</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各接缝位置，使用金属屋面专用丙烯酸高弹防水涂料（国标JG/T375-2012）</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“一布五涂”密封防水处理。</w:t>
      </w:r>
    </w:p>
    <w:p>
      <w:pPr>
        <w:rPr>
          <w:rFonts w:ascii="仿宋_GB2312" w:hAnsi="Times New Roman" w:eastAsia="仿宋_GB2312" w:cs="Times New Roman"/>
          <w:sz w:val="28"/>
          <w:szCs w:val="28"/>
          <w:lang w:bidi="ar"/>
        </w:rPr>
      </w:pPr>
    </w:p>
    <w:p>
      <w:pPr>
        <w:rPr>
          <w:rFonts w:ascii="仿宋_GB2312" w:hAnsi="Times New Roman" w:eastAsia="仿宋_GB2312" w:cs="Times New Roman"/>
          <w:b/>
          <w:sz w:val="28"/>
          <w:szCs w:val="28"/>
          <w:lang w:bidi="ar"/>
        </w:rPr>
      </w:pPr>
      <w:r>
        <w:rPr>
          <w:rFonts w:ascii="仿宋_GB2312" w:hAnsi="Times New Roman" w:eastAsia="仿宋_GB2312" w:cs="Times New Roman"/>
          <w:b/>
          <w:sz w:val="28"/>
          <w:szCs w:val="28"/>
          <w:lang w:bidi="ar"/>
        </w:rPr>
        <w:t>施工技术要求</w:t>
      </w:r>
      <w:r>
        <w:rPr>
          <w:rFonts w:hint="eastAsia" w:ascii="仿宋_GB2312" w:hAnsi="Times New Roman" w:eastAsia="仿宋_GB2312" w:cs="Times New Roman"/>
          <w:b/>
          <w:sz w:val="28"/>
          <w:szCs w:val="28"/>
          <w:lang w:bidi="ar"/>
        </w:rPr>
        <w:t>：</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1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①</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涂刷第一遍基层涂料，然后贴高强聚酯布，再涂刷第二遍基层涂料；间隔2-4小时，等前面涂层实干后，涂刷第三遍基层涂料；再间隔2-3小时，等前面涂层实干后，涂刷第四遍面层涂料；等前面涂层实干后，涂刷第五遍面层涂</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料。最终成膜厚度≥1.2mm。</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2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②</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压顶板相互搭接处，涂料覆盖宽度为150mm。</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3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③</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女儿墙下泛水板相互搭接处，涂料覆盖宽度为150mm；被女儿墙内板遮挡的</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泛水板立面部分，将女儿墙内板打开进行涂刷。</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4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④</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女儿墙下泛水板与屋面板交接处，涂料覆盖宽度为200mm。</w:t>
      </w:r>
    </w:p>
    <w:p>
      <w:pPr>
        <w:rPr>
          <w:kern w:val="0"/>
          <w:sz w:val="22"/>
        </w:rPr>
      </w:pPr>
    </w:p>
    <w:p>
      <w:pPr>
        <w:rPr>
          <w:rFonts w:ascii="宋体" w:hAnsi="宋体"/>
          <w:color w:val="000000"/>
          <w:kern w:val="0"/>
          <w:sz w:val="28"/>
          <w:szCs w:val="28"/>
        </w:rPr>
      </w:pPr>
      <w:r>
        <w:rPr>
          <w:rFonts w:hint="eastAsia" w:ascii="宋体" w:hAnsi="宋体"/>
          <w:color w:val="000000"/>
          <w:kern w:val="0"/>
          <w:sz w:val="28"/>
          <w:szCs w:val="28"/>
        </w:rPr>
        <w:t>2</w:t>
      </w:r>
      <w:r>
        <w:rPr>
          <w:rFonts w:ascii="宋体" w:hAnsi="宋体"/>
          <w:color w:val="000000"/>
          <w:kern w:val="0"/>
          <w:sz w:val="28"/>
          <w:szCs w:val="28"/>
        </w:rPr>
        <w:t>.3屋面板</w:t>
      </w:r>
    </w:p>
    <w:p>
      <w:pPr>
        <w:autoSpaceDE w:val="0"/>
        <w:autoSpaceDN w:val="0"/>
        <w:spacing w:line="468" w:lineRule="exact"/>
        <w:jc w:val="left"/>
        <w:rPr>
          <w:rFonts w:ascii="仿宋_GB2312" w:hAnsi="Times New Roman" w:eastAsia="仿宋_GB2312" w:cs="Times New Roman"/>
          <w:sz w:val="28"/>
          <w:szCs w:val="28"/>
          <w:lang w:bidi="ar"/>
        </w:rPr>
      </w:pPr>
      <w:r>
        <w:drawing>
          <wp:anchor distT="0" distB="0" distL="114300" distR="114300" simplePos="0" relativeHeight="251662336" behindDoc="0" locked="0" layoutInCell="1" allowOverlap="1">
            <wp:simplePos x="0" y="0"/>
            <wp:positionH relativeFrom="margin">
              <wp:align>left</wp:align>
            </wp:positionH>
            <wp:positionV relativeFrom="paragraph">
              <wp:posOffset>38735</wp:posOffset>
            </wp:positionV>
            <wp:extent cx="4695825" cy="4564380"/>
            <wp:effectExtent l="0" t="0" r="0" b="762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4695825" cy="4564473"/>
                    </a:xfrm>
                    <a:prstGeom prst="rect">
                      <a:avLst/>
                    </a:prstGeom>
                  </pic:spPr>
                </pic:pic>
              </a:graphicData>
            </a:graphic>
          </wp:anchor>
        </w:drawing>
      </w:r>
    </w:p>
    <w:p>
      <w:pPr>
        <w:rPr>
          <w:kern w:val="0"/>
          <w:sz w:val="22"/>
        </w:rPr>
      </w:pPr>
    </w:p>
    <w:p>
      <w:pPr>
        <w:rPr>
          <w:kern w:val="0"/>
          <w:sz w:val="22"/>
        </w:rPr>
      </w:pPr>
    </w:p>
    <w:p>
      <w:pPr>
        <w:autoSpaceDE w:val="0"/>
        <w:autoSpaceDN w:val="0"/>
        <w:spacing w:line="468" w:lineRule="exact"/>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Pr>
        <w:rPr>
          <w:b/>
          <w:kern w:val="0"/>
          <w:sz w:val="24"/>
          <w:szCs w:val="24"/>
        </w:rPr>
      </w:pPr>
      <w:r>
        <w:rPr>
          <w:b/>
          <w:kern w:val="0"/>
          <w:sz w:val="24"/>
          <w:szCs w:val="24"/>
        </w:rPr>
        <w:t>维修方案</w:t>
      </w:r>
      <w:r>
        <w:rPr>
          <w:rFonts w:hint="eastAsia"/>
          <w:b/>
          <w:kern w:val="0"/>
          <w:sz w:val="24"/>
          <w:szCs w:val="24"/>
        </w:rPr>
        <w:t>：</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1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①</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锈蚀穿孔区域，清理表面脏污及浮锈；</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2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②</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使用带锈转锈剂进行防锈处理；</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3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③</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使用彩钢板片及拉铆钉，修补加强；</w:t>
      </w:r>
    </w:p>
    <w:p>
      <w:pPr>
        <w:rPr>
          <w:rFonts w:ascii="仿宋_GB2312" w:hAnsi="Times New Roman" w:eastAsia="仿宋_GB2312" w:cs="Times New Roman"/>
          <w:sz w:val="28"/>
          <w:szCs w:val="28"/>
          <w:lang w:bidi="ar"/>
        </w:rPr>
      </w:pPr>
      <w:r>
        <w:rPr>
          <w:rFonts w:ascii="仿宋_GB2312" w:hAnsi="Times New Roman" w:eastAsia="仿宋_GB2312" w:cs="Times New Roman"/>
          <w:sz w:val="28"/>
          <w:szCs w:val="28"/>
          <w:lang w:bidi="ar"/>
        </w:rPr>
        <w:fldChar w:fldCharType="begin"/>
      </w:r>
      <w:r>
        <w:rPr>
          <w:rFonts w:ascii="仿宋_GB2312" w:hAnsi="Times New Roman" w:eastAsia="仿宋_GB2312" w:cs="Times New Roman"/>
          <w:sz w:val="28"/>
          <w:szCs w:val="28"/>
          <w:lang w:bidi="ar"/>
        </w:rPr>
        <w:instrText xml:space="preserve"> </w:instrText>
      </w:r>
      <w:r>
        <w:rPr>
          <w:rFonts w:hint="eastAsia" w:ascii="仿宋_GB2312" w:hAnsi="Times New Roman" w:eastAsia="仿宋_GB2312" w:cs="Times New Roman"/>
          <w:sz w:val="28"/>
          <w:szCs w:val="28"/>
          <w:lang w:bidi="ar"/>
        </w:rPr>
        <w:instrText xml:space="preserve">= 4 \* GB3</w:instrText>
      </w:r>
      <w:r>
        <w:rPr>
          <w:rFonts w:ascii="仿宋_GB2312" w:hAnsi="Times New Roman" w:eastAsia="仿宋_GB2312" w:cs="Times New Roman"/>
          <w:sz w:val="28"/>
          <w:szCs w:val="28"/>
          <w:lang w:bidi="ar"/>
        </w:rPr>
        <w:instrText xml:space="preserve"> </w:instrText>
      </w:r>
      <w:r>
        <w:rPr>
          <w:rFonts w:ascii="仿宋_GB2312" w:hAnsi="Times New Roman" w:eastAsia="仿宋_GB2312" w:cs="Times New Roman"/>
          <w:sz w:val="28"/>
          <w:szCs w:val="28"/>
          <w:lang w:bidi="ar"/>
        </w:rPr>
        <w:fldChar w:fldCharType="separate"/>
      </w:r>
      <w:r>
        <w:rPr>
          <w:rFonts w:hint="eastAsia" w:ascii="仿宋_GB2312" w:hAnsi="Times New Roman" w:eastAsia="仿宋_GB2312" w:cs="Times New Roman"/>
          <w:sz w:val="28"/>
          <w:szCs w:val="28"/>
          <w:lang w:bidi="ar"/>
        </w:rPr>
        <w:t>④</w:t>
      </w:r>
      <w:r>
        <w:rPr>
          <w:rFonts w:ascii="仿宋_GB2312" w:hAnsi="Times New Roman" w:eastAsia="仿宋_GB2312" w:cs="Times New Roman"/>
          <w:sz w:val="28"/>
          <w:szCs w:val="28"/>
          <w:lang w:bidi="ar"/>
        </w:rPr>
        <w:fldChar w:fldCharType="end"/>
      </w:r>
      <w:r>
        <w:rPr>
          <w:rFonts w:hint="eastAsia" w:ascii="仿宋_GB2312" w:hAnsi="Times New Roman" w:eastAsia="仿宋_GB2312" w:cs="Times New Roman"/>
          <w:sz w:val="28"/>
          <w:szCs w:val="28"/>
          <w:lang w:bidi="ar"/>
        </w:rPr>
        <w:t>使用金属屋面专用丙烯酸高弹防水涂料（国标JG/T375-2012）“一布五涂”</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密封防水处理。</w:t>
      </w:r>
    </w:p>
    <w:p>
      <w:pPr>
        <w:rPr>
          <w:kern w:val="0"/>
          <w:sz w:val="22"/>
        </w:rPr>
      </w:pPr>
    </w:p>
    <w:p>
      <w:pPr>
        <w:rPr>
          <w:b/>
          <w:kern w:val="0"/>
          <w:sz w:val="24"/>
          <w:szCs w:val="24"/>
        </w:rPr>
      </w:pPr>
      <w:r>
        <w:rPr>
          <w:b/>
          <w:kern w:val="0"/>
          <w:sz w:val="24"/>
          <w:szCs w:val="24"/>
        </w:rPr>
        <w:t>施工技术要求</w:t>
      </w:r>
      <w:r>
        <w:rPr>
          <w:rFonts w:hint="eastAsia"/>
          <w:b/>
          <w:kern w:val="0"/>
          <w:sz w:val="24"/>
          <w:szCs w:val="24"/>
        </w:rPr>
        <w:t>：</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涂刷第一遍基层涂料，然后贴高强聚酯布，再涂刷第二遍基层涂料；间隔2-4</w:t>
      </w:r>
    </w:p>
    <w:p>
      <w:pPr>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小时，等前面涂层实干后，涂刷第三遍基层涂料；再间隔2-3小时，等前面涂层实干后，涂刷第四遍面层涂料；等前面涂层实干后，涂刷第五遍面层涂料。最终成膜厚度≥1.2mm。</w:t>
      </w: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r>
        <w:rPr>
          <w:rFonts w:hint="eastAsia" w:ascii="仿宋_GB2312" w:hAnsi="Times New Roman" w:eastAsia="仿宋_GB2312" w:cs="Times New Roman"/>
          <w:sz w:val="28"/>
          <w:szCs w:val="28"/>
          <w:lang w:bidi="ar"/>
        </w:rPr>
        <w:t>2.4屋面板接缝</w:t>
      </w: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rPr>
      </w:pPr>
      <w:r>
        <w:rPr>
          <w:rFonts w:ascii="仿宋_GB2312" w:hAnsi="Times New Roman" w:eastAsia="仿宋_GB2312" w:cs="Times New Roman"/>
          <w:sz w:val="28"/>
          <w:szCs w:val="28"/>
        </w:rPr>
        <mc:AlternateContent>
          <mc:Choice Requires="wps">
            <w:drawing>
              <wp:anchor distT="0" distB="0" distL="114300" distR="114300" simplePos="0" relativeHeight="251666432" behindDoc="0" locked="0" layoutInCell="1" allowOverlap="1">
                <wp:simplePos x="0" y="0"/>
                <wp:positionH relativeFrom="column">
                  <wp:posOffset>1678940</wp:posOffset>
                </wp:positionH>
                <wp:positionV relativeFrom="paragraph">
                  <wp:posOffset>2506980</wp:posOffset>
                </wp:positionV>
                <wp:extent cx="940435" cy="501015"/>
                <wp:effectExtent l="5715" t="11430" r="6350" b="1905"/>
                <wp:wrapNone/>
                <wp:docPr id="14" name="直接箭头连接符 14"/>
                <wp:cNvGraphicFramePr/>
                <a:graphic xmlns:a="http://schemas.openxmlformats.org/drawingml/2006/main">
                  <a:graphicData uri="http://schemas.microsoft.com/office/word/2010/wordprocessingShape">
                    <wps:wsp>
                      <wps:cNvCnPr/>
                      <wps:spPr>
                        <a:xfrm>
                          <a:off x="0" y="0"/>
                          <a:ext cx="940435" cy="501015"/>
                        </a:xfrm>
                        <a:prstGeom prst="straightConnector1">
                          <a:avLst/>
                        </a:prstGeom>
                        <a:ln w="25400" cap="flat" cmpd="sng">
                          <a:solidFill>
                            <a:srgbClr val="FF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32.2pt;margin-top:197.4pt;height:39.45pt;width:74.05pt;z-index:251666432;mso-width-relative:page;mso-height-relative:page;" filled="f" stroked="t" coordsize="21600,21600" o:gfxdata="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hY87LbAAAACwEAAA8AAAAAAAAAAQAgAAAAIgAAAGRycy9kb3ducmV2LnhtbFBLAQIUABQA&#10;AAAIAIdO4kDFhuxv7QEAAKkDAAAOAAAAAAAAAAEAIAAAACoBAABkcnMvZTJvRG9jLnhtbFBLBQYA&#10;AAAABgAGAFkBAACJBQAAAAA=&#10;">
                <v:fill on="f" focussize="0,0"/>
                <v:stroke weight="2pt" color="#FF0000" joinstyle="round" endarrow="block"/>
                <v:imagedata o:title=""/>
                <o:lock v:ext="edit" aspectratio="f"/>
              </v:shape>
            </w:pict>
          </mc:Fallback>
        </mc:AlternateContent>
      </w:r>
      <w:r>
        <w:rPr>
          <w:rFonts w:ascii="仿宋_GB2312" w:hAnsi="Times New Roman" w:eastAsia="仿宋_GB2312" w:cs="Times New Roman"/>
          <w:sz w:val="28"/>
          <w:szCs w:val="28"/>
        </w:rPr>
        <w:drawing>
          <wp:inline distT="0" distB="0" distL="0" distR="0">
            <wp:extent cx="5975985" cy="3769360"/>
            <wp:effectExtent l="0" t="0" r="571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3" cstate="print"/>
                    <a:srcRect/>
                    <a:stretch>
                      <a:fillRect/>
                    </a:stretch>
                  </pic:blipFill>
                  <pic:spPr>
                    <a:xfrm>
                      <a:off x="0" y="0"/>
                      <a:ext cx="5976620" cy="3770079"/>
                    </a:xfrm>
                    <a:prstGeom prst="rect">
                      <a:avLst/>
                    </a:prstGeom>
                    <a:noFill/>
                    <a:ln w="9525">
                      <a:noFill/>
                      <a:miter lim="800000"/>
                      <a:headEnd/>
                      <a:tailEnd/>
                    </a:ln>
                  </pic:spPr>
                </pic:pic>
              </a:graphicData>
            </a:graphic>
          </wp:inline>
        </w:drawing>
      </w:r>
    </w:p>
    <w:p>
      <w:pPr>
        <w:widowControl/>
        <w:jc w:val="left"/>
        <w:rPr>
          <w:rFonts w:ascii="仿宋_GB2312" w:hAnsi="Times New Roman" w:eastAsia="仿宋_GB2312" w:cs="Times New Roman"/>
          <w:sz w:val="28"/>
          <w:szCs w:val="28"/>
        </w:rPr>
      </w:pPr>
    </w:p>
    <w:p>
      <w:pPr>
        <w:rPr>
          <w:b/>
          <w:kern w:val="0"/>
          <w:sz w:val="24"/>
          <w:szCs w:val="24"/>
        </w:rPr>
      </w:pPr>
      <w:r>
        <w:rPr>
          <w:b/>
          <w:kern w:val="0"/>
          <w:sz w:val="24"/>
          <w:szCs w:val="24"/>
        </w:rPr>
        <w:t>施工技术要求</w:t>
      </w:r>
      <w:r>
        <w:rPr>
          <w:rFonts w:hint="eastAsia"/>
          <w:b/>
          <w:kern w:val="0"/>
          <w:sz w:val="24"/>
          <w:szCs w:val="24"/>
        </w:rPr>
        <w:t>：</w:t>
      </w:r>
    </w:p>
    <w:p>
      <w:pPr>
        <w:rPr>
          <w:rFonts w:ascii="仿宋_GB2312" w:hAnsi="Times New Roman" w:eastAsia="仿宋_GB2312" w:cs="Times New Roman"/>
          <w:sz w:val="28"/>
          <w:szCs w:val="28"/>
        </w:rPr>
      </w:pPr>
      <w:r>
        <w:rPr>
          <w:rFonts w:hint="eastAsia" w:ascii="仿宋_GB2312" w:hAnsi="Times New Roman" w:eastAsia="仿宋_GB2312" w:cs="Times New Roman"/>
          <w:sz w:val="28"/>
          <w:szCs w:val="28"/>
        </w:rPr>
        <w:t>涂刷第一遍基层涂料，然后贴高强聚酯布，再涂刷第二遍基层涂料；间隔2-4</w:t>
      </w:r>
    </w:p>
    <w:p>
      <w:pPr>
        <w:rPr>
          <w:rFonts w:ascii="仿宋_GB2312" w:hAnsi="Times New Roman" w:eastAsia="仿宋_GB2312" w:cs="Times New Roman"/>
          <w:sz w:val="28"/>
          <w:szCs w:val="28"/>
        </w:rPr>
      </w:pPr>
      <w:r>
        <w:rPr>
          <w:rFonts w:hint="eastAsia" w:ascii="仿宋_GB2312" w:hAnsi="Times New Roman" w:eastAsia="仿宋_GB2312" w:cs="Times New Roman"/>
          <w:sz w:val="28"/>
          <w:szCs w:val="28"/>
        </w:rPr>
        <w:t>小时，等前面涂层实干后，涂刷第三遍基层涂料；再间隔2-3小时，等前面涂层实干后，涂刷第四遍面层涂料；等前面涂层实干后，涂刷第五遍面层涂料。最终成膜厚度≥1.2mm，此次施工对100条变形比较大的彩钢瓦拼接缝修补。</w:t>
      </w:r>
    </w:p>
    <w:p>
      <w:pPr>
        <w:rPr>
          <w:rFonts w:ascii="仿宋_GB2312" w:hAnsi="Times New Roman" w:eastAsia="仿宋_GB2312" w:cs="Times New Roman"/>
          <w:sz w:val="28"/>
          <w:szCs w:val="28"/>
        </w:rPr>
      </w:pPr>
    </w:p>
    <w:p>
      <w:pPr>
        <w:rPr>
          <w:rFonts w:ascii="宋体" w:hAnsi="宋体"/>
          <w:color w:val="000000"/>
          <w:kern w:val="0"/>
          <w:sz w:val="28"/>
          <w:szCs w:val="28"/>
        </w:rPr>
      </w:pPr>
      <w:r>
        <w:rPr>
          <w:rFonts w:hint="eastAsia" w:ascii="仿宋_GB2312" w:hAnsi="Times New Roman" w:eastAsia="仿宋_GB2312" w:cs="Times New Roman"/>
          <w:sz w:val="28"/>
          <w:szCs w:val="28"/>
        </w:rPr>
        <w:t>2.5</w:t>
      </w:r>
      <w:r>
        <w:rPr>
          <w:rFonts w:hint="eastAsia" w:ascii="宋体" w:hAnsi="宋体"/>
          <w:color w:val="000000"/>
          <w:kern w:val="0"/>
          <w:sz w:val="28"/>
          <w:szCs w:val="28"/>
        </w:rPr>
        <w:t>屋面板接缝高起部位防腐油漆</w:t>
      </w:r>
    </w:p>
    <w:p>
      <w:pPr>
        <w:rPr>
          <w:rFonts w:ascii="宋体" w:hAnsi="宋体"/>
          <w:color w:val="000000"/>
          <w:kern w:val="0"/>
          <w:sz w:val="28"/>
          <w:szCs w:val="28"/>
        </w:rPr>
      </w:pPr>
      <w:r>
        <w:rPr>
          <w:b/>
          <w:sz w:val="28"/>
          <w:szCs w:val="28"/>
        </w:rPr>
        <mc:AlternateContent>
          <mc:Choice Requires="wps">
            <w:drawing>
              <wp:anchor distT="0" distB="0" distL="114300" distR="114300" simplePos="0" relativeHeight="251667456" behindDoc="0" locked="0" layoutInCell="1" allowOverlap="1">
                <wp:simplePos x="0" y="0"/>
                <wp:positionH relativeFrom="column">
                  <wp:posOffset>1904365</wp:posOffset>
                </wp:positionH>
                <wp:positionV relativeFrom="paragraph">
                  <wp:posOffset>304165</wp:posOffset>
                </wp:positionV>
                <wp:extent cx="698500" cy="836930"/>
                <wp:effectExtent l="9525" t="0" r="15875" b="20320"/>
                <wp:wrapNone/>
                <wp:docPr id="15" name="直接箭头连接符 15"/>
                <wp:cNvGraphicFramePr/>
                <a:graphic xmlns:a="http://schemas.openxmlformats.org/drawingml/2006/main">
                  <a:graphicData uri="http://schemas.microsoft.com/office/word/2010/wordprocessingShape">
                    <wps:wsp>
                      <wps:cNvCnPr/>
                      <wps:spPr>
                        <a:xfrm flipV="1">
                          <a:off x="0" y="0"/>
                          <a:ext cx="698500" cy="836930"/>
                        </a:xfrm>
                        <a:prstGeom prst="straightConnector1">
                          <a:avLst/>
                        </a:prstGeom>
                        <a:ln w="25400" cap="flat" cmpd="sng">
                          <a:solidFill>
                            <a:srgbClr val="FF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49.95pt;margin-top:23.95pt;height:65.9pt;width:55pt;z-index:251667456;mso-width-relative:page;mso-height-relative:page;" filled="f" stroked="t" coordsize="21600,21600" o:gfxdata="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cOwPs2QAAAAoBAAAPAAAAAAAAAAEAIAAAACIAAABkcnMvZG93bnJldi54&#10;bWxQSwECFAAUAAAACACHTuJArh1kIvkBAACzAwAADgAAAAAAAAABACAAAAAoAQAAZHJzL2Uyb0Rv&#10;Yy54bWxQSwUGAAAAAAYABgBZAQAAkwUAAAAA&#10;">
                <v:fill on="f" focussize="0,0"/>
                <v:stroke weight="2pt" color="#FF0000" joinstyle="round" endarrow="block"/>
                <v:imagedata o:title=""/>
                <o:lock v:ext="edit" aspectratio="f"/>
              </v:shape>
            </w:pict>
          </mc:Fallback>
        </mc:AlternateContent>
      </w:r>
      <w:r>
        <w:rPr>
          <w:b/>
          <w:sz w:val="28"/>
          <w:szCs w:val="28"/>
        </w:rPr>
        <w:drawing>
          <wp:inline distT="0" distB="0" distL="0" distR="0">
            <wp:extent cx="5274310" cy="3326765"/>
            <wp:effectExtent l="0" t="0" r="2540" b="698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noChangeArrowheads="1"/>
                    </pic:cNvPicPr>
                  </pic:nvPicPr>
                  <pic:blipFill>
                    <a:blip r:embed="rId13" cstate="print"/>
                    <a:srcRect/>
                    <a:stretch>
                      <a:fillRect/>
                    </a:stretch>
                  </pic:blipFill>
                  <pic:spPr>
                    <a:xfrm>
                      <a:off x="0" y="0"/>
                      <a:ext cx="5274310" cy="3327059"/>
                    </a:xfrm>
                    <a:prstGeom prst="rect">
                      <a:avLst/>
                    </a:prstGeom>
                    <a:noFill/>
                    <a:ln w="9525">
                      <a:noFill/>
                      <a:miter lim="800000"/>
                      <a:headEnd/>
                      <a:tailEnd/>
                    </a:ln>
                  </pic:spPr>
                </pic:pic>
              </a:graphicData>
            </a:graphic>
          </wp:inline>
        </w:drawing>
      </w:r>
    </w:p>
    <w:p>
      <w:pPr>
        <w:rPr>
          <w:b/>
          <w:kern w:val="0"/>
          <w:sz w:val="24"/>
          <w:szCs w:val="24"/>
        </w:rPr>
      </w:pPr>
      <w:r>
        <w:rPr>
          <w:b/>
          <w:kern w:val="0"/>
          <w:sz w:val="24"/>
          <w:szCs w:val="24"/>
        </w:rPr>
        <w:t>施工技术要求</w:t>
      </w:r>
      <w:r>
        <w:rPr>
          <w:rFonts w:hint="eastAsia"/>
          <w:b/>
          <w:kern w:val="0"/>
          <w:sz w:val="24"/>
          <w:szCs w:val="24"/>
        </w:rPr>
        <w:t>：</w:t>
      </w:r>
    </w:p>
    <w:p>
      <w:pPr>
        <w:rPr>
          <w:b/>
          <w:sz w:val="28"/>
          <w:szCs w:val="28"/>
        </w:rPr>
      </w:pPr>
      <w:r>
        <w:rPr>
          <w:rFonts w:hint="eastAsia"/>
          <w:b/>
          <w:sz w:val="28"/>
          <w:szCs w:val="28"/>
        </w:rPr>
        <mc:AlternateContent>
          <mc:Choice Requires="wps">
            <w:drawing>
              <wp:anchor distT="0" distB="0" distL="114300" distR="114300" simplePos="0" relativeHeight="251664384" behindDoc="0" locked="0" layoutInCell="1" allowOverlap="1">
                <wp:simplePos x="0" y="0"/>
                <wp:positionH relativeFrom="column">
                  <wp:posOffset>5059680</wp:posOffset>
                </wp:positionH>
                <wp:positionV relativeFrom="paragraph">
                  <wp:posOffset>180975</wp:posOffset>
                </wp:positionV>
                <wp:extent cx="474345" cy="635"/>
                <wp:effectExtent l="0" t="37465" r="1905" b="38100"/>
                <wp:wrapNone/>
                <wp:docPr id="9" name="直接箭头连接符 9"/>
                <wp:cNvGraphicFramePr/>
                <a:graphic xmlns:a="http://schemas.openxmlformats.org/drawingml/2006/main">
                  <a:graphicData uri="http://schemas.microsoft.com/office/word/2010/wordprocessingShape">
                    <wps:wsp>
                      <wps:cNvCnPr/>
                      <wps:spPr>
                        <a:xfrm>
                          <a:off x="0" y="0"/>
                          <a:ext cx="47434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98.4pt;margin-top:14.25pt;height:0.05pt;width:37.35pt;z-index:251664384;mso-width-relative:page;mso-height-relative:page;" filled="f" stroked="t" coordsize="21600,21600" o:gfxdata="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Od&#10;VWjaAAAACQEAAA8AAAAAAAAAAQAgAAAAIgAAAGRycy9kb3ducmV2LnhtbFBLAQIUABQAAAAIAIdO&#10;4kAPq5HB6AEAAKMDAAAOAAAAAAAAAAEAIAAAACkBAABkcnMvZTJvRG9jLnhtbFBLBQYAAAAABgAG&#10;AFkBAACDBQAAAAA=&#10;">
                <v:fill on="f" focussize="0,0"/>
                <v:stroke color="#000000" joinstyle="round" endarrow="block"/>
                <v:imagedata o:title=""/>
                <o:lock v:ext="edit" aspectratio="f"/>
              </v:shape>
            </w:pict>
          </mc:Fallback>
        </mc:AlternateContent>
      </w:r>
      <w:r>
        <w:rPr>
          <w:rFonts w:hint="eastAsia"/>
          <w:b/>
          <w:sz w:val="28"/>
          <w:szCs w:val="28"/>
        </w:rPr>
        <mc:AlternateContent>
          <mc:Choice Requires="wps">
            <w:drawing>
              <wp:anchor distT="0" distB="0" distL="114300" distR="114300" simplePos="0" relativeHeight="251663360" behindDoc="0" locked="0" layoutInCell="1" allowOverlap="1">
                <wp:simplePos x="0" y="0"/>
                <wp:positionH relativeFrom="column">
                  <wp:posOffset>2661920</wp:posOffset>
                </wp:positionH>
                <wp:positionV relativeFrom="paragraph">
                  <wp:posOffset>180340</wp:posOffset>
                </wp:positionV>
                <wp:extent cx="319405" cy="0"/>
                <wp:effectExtent l="0" t="38100" r="4445" b="38100"/>
                <wp:wrapNone/>
                <wp:docPr id="11" name="直接箭头连接符 11"/>
                <wp:cNvGraphicFramePr/>
                <a:graphic xmlns:a="http://schemas.openxmlformats.org/drawingml/2006/main">
                  <a:graphicData uri="http://schemas.microsoft.com/office/word/2010/wordprocessingShape">
                    <wps:wsp>
                      <wps:cNvCnPr/>
                      <wps:spPr>
                        <a:xfrm>
                          <a:off x="0" y="0"/>
                          <a:ext cx="31940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6pt;margin-top:14.2pt;height:0pt;width:25.15pt;z-index:251663360;mso-width-relative:page;mso-height-relative:page;" filled="f" stroked="t" coordsize="21600,21600" o:gfxdata="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exBv&#10;w9kAAAAJAQAADwAAAAAAAAABACAAAAAiAAAAZHJzL2Rvd25yZXYueG1sUEsBAhQAFAAAAAgAh07i&#10;QLtXABLoAQAAowMAAA4AAAAAAAAAAQAgAAAAKAEAAGRycy9lMm9Eb2MueG1sUEsFBgAAAAAGAAYA&#10;WQEAAIIFAAAAAA==&#10;">
                <v:fill on="f" focussize="0,0"/>
                <v:stroke color="#000000" joinstyle="round" endarrow="block"/>
                <v:imagedata o:title=""/>
                <o:lock v:ext="edit" aspectratio="f"/>
              </v:shape>
            </w:pict>
          </mc:Fallback>
        </mc:AlternateContent>
      </w:r>
      <w:r>
        <w:rPr>
          <w:rFonts w:hint="eastAsia"/>
          <w:b/>
          <w:sz w:val="28"/>
          <w:szCs w:val="28"/>
        </w:rPr>
        <mc:AlternateContent>
          <mc:Choice Requires="wps">
            <w:drawing>
              <wp:anchor distT="0" distB="0" distL="114300" distR="114300" simplePos="0" relativeHeight="251665408" behindDoc="0" locked="0" layoutInCell="1" allowOverlap="1">
                <wp:simplePos x="0" y="0"/>
                <wp:positionH relativeFrom="column">
                  <wp:posOffset>958850</wp:posOffset>
                </wp:positionH>
                <wp:positionV relativeFrom="paragraph">
                  <wp:posOffset>179705</wp:posOffset>
                </wp:positionV>
                <wp:extent cx="319405" cy="0"/>
                <wp:effectExtent l="0" t="38100" r="4445" b="38100"/>
                <wp:wrapNone/>
                <wp:docPr id="10" name="直接箭头连接符 10"/>
                <wp:cNvGraphicFramePr/>
                <a:graphic xmlns:a="http://schemas.openxmlformats.org/drawingml/2006/main">
                  <a:graphicData uri="http://schemas.microsoft.com/office/word/2010/wordprocessingShape">
                    <wps:wsp>
                      <wps:cNvCnPr/>
                      <wps:spPr>
                        <a:xfrm>
                          <a:off x="0" y="0"/>
                          <a:ext cx="31940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75.5pt;margin-top:14.15pt;height:0pt;width:25.15pt;z-index:251665408;mso-width-relative:page;mso-height-relative:page;" filled="f" stroked="t" coordsize="21600,21600" o:gfxdata="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B/jkH&#10;2AAAAAkBAAAPAAAAAAAAAAEAIAAAACIAAABkcnMvZG93bnJldi54bWxQSwECFAAUAAAACACHTuJA&#10;SW4gIegBAACjAwAADgAAAAAAAAABACAAAAAnAQAAZHJzL2Uyb0RvYy54bWxQSwUGAAAAAAYABgBZ&#10;AQAAgQUAAAAA&#10;">
                <v:fill on="f" focussize="0,0"/>
                <v:stroke color="#000000" joinstyle="round" endarrow="block"/>
                <v:imagedata o:title=""/>
                <o:lock v:ext="edit" aspectratio="f"/>
              </v:shape>
            </w:pict>
          </mc:Fallback>
        </mc:AlternateContent>
      </w:r>
      <w:r>
        <w:rPr>
          <w:rFonts w:hint="eastAsia"/>
          <w:b/>
          <w:sz w:val="28"/>
          <w:szCs w:val="28"/>
        </w:rPr>
        <w:t>先打磨除锈     然后涂刷固绣剂     防腐底漆（底层防锈漆）</w:t>
      </w:r>
    </w:p>
    <w:p>
      <w:pPr>
        <w:rPr>
          <w:b/>
          <w:sz w:val="28"/>
          <w:szCs w:val="28"/>
        </w:rPr>
      </w:pPr>
      <w:r>
        <w:rPr>
          <w:rFonts w:hint="eastAsia"/>
          <w:b/>
          <w:sz w:val="28"/>
          <w:szCs w:val="28"/>
        </w:rPr>
        <w:t>防腐面漆(面层防锈漆)</w:t>
      </w:r>
    </w:p>
    <w:p>
      <w:pPr>
        <w:widowControl/>
        <w:jc w:val="left"/>
        <w:rPr>
          <w:rFonts w:ascii="仿宋_GB2312" w:hAnsi="Times New Roman" w:eastAsia="仿宋_GB2312" w:cs="Times New Roman"/>
          <w:sz w:val="28"/>
          <w:szCs w:val="28"/>
          <w:lang w:bidi="ar"/>
        </w:rPr>
      </w:pPr>
    </w:p>
    <w:p>
      <w:pPr>
        <w:widowControl/>
        <w:jc w:val="left"/>
        <w:rPr>
          <w:rFonts w:ascii="仿宋_GB2312" w:hAnsi="Times New Roman" w:eastAsia="仿宋_GB2312" w:cs="Times New Roman"/>
          <w:sz w:val="28"/>
          <w:szCs w:val="28"/>
          <w:lang w:bidi="ar"/>
        </w:rPr>
      </w:pPr>
    </w:p>
    <w:p/>
    <w:p>
      <w:pPr>
        <w:pStyle w:val="48"/>
        <w:jc w:val="both"/>
      </w:pPr>
      <w:r>
        <w:rPr>
          <w:rFonts w:hint="eastAsia"/>
        </w:rPr>
        <w:t xml:space="preserve"> </w:t>
      </w:r>
      <w:r>
        <w:t xml:space="preserve">            </w:t>
      </w: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jc w:val="both"/>
      </w:pPr>
    </w:p>
    <w:p>
      <w:pPr>
        <w:pStyle w:val="48"/>
      </w:pPr>
      <w:r>
        <w:t>第</w:t>
      </w:r>
      <w:r>
        <w:rPr>
          <w:rFonts w:hint="eastAsia"/>
        </w:rPr>
        <w:t>六</w:t>
      </w:r>
      <w:r>
        <w:t>章  投标文件格式</w:t>
      </w:r>
      <w:bookmarkEnd w:id="96"/>
      <w:bookmarkEnd w:id="97"/>
    </w:p>
    <w:p>
      <w:pPr>
        <w:spacing w:line="440" w:lineRule="exact"/>
        <w:jc w:val="center"/>
        <w:rPr>
          <w:rFonts w:cs="Calibri"/>
          <w:b/>
          <w:color w:val="000000"/>
          <w:sz w:val="28"/>
          <w:szCs w:val="28"/>
        </w:rPr>
      </w:pPr>
      <w:r>
        <w:rPr>
          <w:rFonts w:cs="Calibri"/>
          <w:b/>
          <w:color w:val="000000"/>
          <w:sz w:val="28"/>
          <w:szCs w:val="28"/>
        </w:rPr>
        <w:t>目   录</w:t>
      </w:r>
    </w:p>
    <w:p>
      <w:pPr>
        <w:spacing w:line="440" w:lineRule="exact"/>
        <w:ind w:firstLine="440" w:firstLineChars="200"/>
        <w:rPr>
          <w:rFonts w:ascii="宋体" w:hAnsi="宋体" w:cs="Calibri"/>
          <w:color w:val="000000"/>
          <w:sz w:val="22"/>
        </w:rPr>
      </w:pPr>
      <w:r>
        <w:rPr>
          <w:rFonts w:ascii="宋体" w:hAnsi="宋体" w:cs="Calibri"/>
          <w:color w:val="000000"/>
          <w:sz w:val="22"/>
        </w:rPr>
        <w:t>封面</w:t>
      </w:r>
    </w:p>
    <w:p>
      <w:pPr>
        <w:adjustRightInd w:val="0"/>
        <w:snapToGrid w:val="0"/>
        <w:spacing w:line="400" w:lineRule="exact"/>
        <w:ind w:firstLine="440" w:firstLineChars="200"/>
        <w:rPr>
          <w:rFonts w:ascii="宋体" w:hAnsi="宋体" w:cs="Calibri"/>
          <w:sz w:val="22"/>
        </w:rPr>
      </w:pPr>
      <w:r>
        <w:rPr>
          <w:rFonts w:hint="eastAsia" w:ascii="宋体" w:hAnsi="宋体" w:cs="Calibri"/>
          <w:sz w:val="22"/>
        </w:rPr>
        <w:t>一、</w:t>
      </w:r>
      <w:r>
        <w:rPr>
          <w:rFonts w:ascii="宋体" w:hAnsi="宋体" w:cs="Calibri"/>
          <w:sz w:val="22"/>
        </w:rPr>
        <w:t>投标函</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二、</w:t>
      </w:r>
      <w:r>
        <w:rPr>
          <w:rFonts w:cs="Calibri" w:asciiTheme="minorEastAsia" w:hAnsiTheme="minorEastAsia"/>
          <w:color w:val="000000"/>
          <w:sz w:val="22"/>
        </w:rPr>
        <w:t>法定代表人资格证明书</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三、</w:t>
      </w:r>
      <w:r>
        <w:rPr>
          <w:rFonts w:cs="Calibri" w:asciiTheme="minorEastAsia" w:hAnsiTheme="minorEastAsia"/>
          <w:color w:val="000000"/>
          <w:sz w:val="22"/>
        </w:rPr>
        <w:t>授权委托书</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四、已标价工程量清单</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五、施工组织设计</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六、项目管理机构</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七、资格审查资料</w:t>
      </w:r>
    </w:p>
    <w:p>
      <w:pPr>
        <w:adjustRightInd w:val="0"/>
        <w:snapToGrid w:val="0"/>
        <w:spacing w:line="400" w:lineRule="exact"/>
        <w:ind w:firstLine="440" w:firstLineChars="200"/>
        <w:rPr>
          <w:rFonts w:cs="Calibri" w:asciiTheme="minorEastAsia" w:hAnsiTheme="minorEastAsia"/>
          <w:color w:val="000000"/>
          <w:sz w:val="22"/>
        </w:rPr>
      </w:pPr>
      <w:r>
        <w:rPr>
          <w:rFonts w:hint="eastAsia" w:cs="Calibri" w:asciiTheme="minorEastAsia" w:hAnsiTheme="minorEastAsia"/>
          <w:color w:val="000000"/>
          <w:sz w:val="22"/>
        </w:rPr>
        <w:t>八、投标人认为</w:t>
      </w:r>
      <w:r>
        <w:rPr>
          <w:rFonts w:cs="Calibri" w:asciiTheme="minorEastAsia" w:hAnsiTheme="minorEastAsia"/>
          <w:color w:val="000000"/>
          <w:sz w:val="22"/>
        </w:rPr>
        <w:t>应该提供的其他材料</w:t>
      </w:r>
    </w:p>
    <w:p>
      <w:pPr>
        <w:adjustRightInd w:val="0"/>
        <w:snapToGrid w:val="0"/>
        <w:spacing w:line="400" w:lineRule="exact"/>
        <w:ind w:firstLine="440" w:firstLineChars="200"/>
        <w:rPr>
          <w:rFonts w:ascii="宋体" w:hAnsi="宋体" w:cs="Calibri"/>
          <w:color w:val="000000"/>
          <w:sz w:val="22"/>
        </w:rPr>
      </w:pPr>
    </w:p>
    <w:p>
      <w:pPr>
        <w:rPr>
          <w:rFonts w:ascii="宋体" w:hAnsi="宋体" w:cs="Calibri"/>
          <w:sz w:val="22"/>
        </w:rPr>
      </w:pPr>
    </w:p>
    <w:p>
      <w:pPr>
        <w:spacing w:line="440" w:lineRule="exact"/>
        <w:rPr>
          <w:rFonts w:ascii="宋体" w:hAnsi="宋体" w:cs="Calibri"/>
          <w:color w:val="000000"/>
          <w:sz w:val="22"/>
        </w:rPr>
      </w:pPr>
    </w:p>
    <w:p>
      <w:pPr>
        <w:widowControl/>
        <w:jc w:val="left"/>
        <w:rPr>
          <w:rFonts w:ascii="宋体" w:hAnsi="宋体" w:cs="Calibri"/>
          <w:color w:val="000000"/>
          <w:sz w:val="22"/>
        </w:rPr>
      </w:pPr>
      <w:r>
        <w:rPr>
          <w:rFonts w:hint="eastAsia" w:ascii="宋体" w:hAnsi="宋体" w:cs="Calibri"/>
          <w:color w:val="000000"/>
          <w:sz w:val="22"/>
        </w:rPr>
        <w:t>注：未提供格式的由投标人自行拟定格式。</w:t>
      </w:r>
    </w:p>
    <w:p>
      <w:pPr>
        <w:widowControl/>
        <w:jc w:val="left"/>
        <w:rPr>
          <w:rFonts w:ascii="宋体" w:hAnsi="宋体" w:cs="Calibri"/>
          <w:color w:val="000000"/>
        </w:rPr>
      </w:pPr>
      <w:r>
        <w:rPr>
          <w:rFonts w:ascii="宋体" w:hAnsi="宋体" w:cs="Calibri"/>
          <w:color w:val="000000"/>
        </w:rPr>
        <w:br w:type="page"/>
      </w:r>
    </w:p>
    <w:p>
      <w:pPr>
        <w:spacing w:line="440" w:lineRule="exact"/>
        <w:ind w:right="420"/>
        <w:jc w:val="right"/>
        <w:rPr>
          <w:rFonts w:cs="Calibri"/>
          <w:color w:val="000000"/>
        </w:rPr>
      </w:pPr>
      <w:r>
        <w:rPr>
          <w:rFonts w:cs="Calibri"/>
          <w:color w:val="000000"/>
        </w:rPr>
        <w:t>正本（或副本）</w:t>
      </w:r>
    </w:p>
    <w:p>
      <w:pPr>
        <w:spacing w:line="440" w:lineRule="exact"/>
        <w:rPr>
          <w:rFonts w:cs="Calibri"/>
          <w:color w:val="000000"/>
          <w:u w:val="single"/>
        </w:rPr>
      </w:pPr>
      <w:bookmarkStart w:id="98" w:name="_Toc171421958"/>
      <w:r>
        <w:rPr>
          <w:rFonts w:cs="Calibri"/>
          <w:color w:val="000000"/>
        </w:rPr>
        <w:t>封面</w:t>
      </w:r>
      <w:bookmarkEnd w:id="98"/>
    </w:p>
    <w:p>
      <w:pPr>
        <w:autoSpaceDE w:val="0"/>
        <w:autoSpaceDN w:val="0"/>
        <w:adjustRightInd w:val="0"/>
        <w:jc w:val="center"/>
        <w:rPr>
          <w:rFonts w:cs="Calibri"/>
          <w:b/>
          <w:spacing w:val="20"/>
          <w:kern w:val="0"/>
          <w:sz w:val="48"/>
          <w:szCs w:val="48"/>
        </w:rPr>
      </w:pPr>
    </w:p>
    <w:p>
      <w:pPr>
        <w:autoSpaceDE w:val="0"/>
        <w:autoSpaceDN w:val="0"/>
        <w:adjustRightInd w:val="0"/>
        <w:jc w:val="center"/>
        <w:rPr>
          <w:rFonts w:eastAsia="黑体" w:cs="Calibri"/>
          <w:b/>
          <w:sz w:val="44"/>
          <w:szCs w:val="44"/>
        </w:rPr>
      </w:pPr>
      <w:r>
        <w:rPr>
          <w:rFonts w:hint="eastAsia" w:eastAsia="黑体" w:cs="Calibri"/>
          <w:b/>
          <w:sz w:val="44"/>
          <w:szCs w:val="44"/>
        </w:rPr>
        <w:t>浙江航空开发有限责任公司</w:t>
      </w:r>
    </w:p>
    <w:p>
      <w:pPr>
        <w:autoSpaceDE w:val="0"/>
        <w:autoSpaceDN w:val="0"/>
        <w:adjustRightInd w:val="0"/>
        <w:jc w:val="center"/>
        <w:rPr>
          <w:rFonts w:eastAsia="黑体" w:cs="Calibri"/>
          <w:b/>
          <w:sz w:val="44"/>
          <w:szCs w:val="44"/>
        </w:rPr>
      </w:pPr>
      <w:r>
        <w:rPr>
          <w:rFonts w:hint="eastAsia" w:eastAsia="黑体" w:cs="Calibri"/>
          <w:b/>
          <w:sz w:val="44"/>
          <w:szCs w:val="44"/>
          <w:u w:val="single"/>
        </w:rPr>
        <w:t xml:space="preserve">     </w:t>
      </w:r>
      <w:r>
        <w:rPr>
          <w:rFonts w:eastAsia="黑体" w:cs="Calibri"/>
          <w:b/>
          <w:sz w:val="44"/>
          <w:szCs w:val="44"/>
          <w:u w:val="single"/>
        </w:rPr>
        <w:t xml:space="preserve">      </w:t>
      </w:r>
      <w:r>
        <w:rPr>
          <w:rFonts w:hint="eastAsia" w:eastAsia="黑体" w:cs="Calibri"/>
          <w:b/>
          <w:sz w:val="44"/>
          <w:szCs w:val="44"/>
          <w:u w:val="single"/>
        </w:rPr>
        <w:t xml:space="preserve">    </w:t>
      </w:r>
      <w:r>
        <w:rPr>
          <w:rFonts w:hint="eastAsia" w:eastAsia="黑体" w:cs="Calibri"/>
          <w:b/>
          <w:sz w:val="44"/>
          <w:szCs w:val="44"/>
        </w:rPr>
        <w:t>工程</w:t>
      </w:r>
    </w:p>
    <w:p>
      <w:pPr>
        <w:spacing w:line="440" w:lineRule="exact"/>
        <w:rPr>
          <w:rFonts w:cs="Calibri"/>
          <w:color w:val="000000"/>
          <w:sz w:val="36"/>
          <w:szCs w:val="36"/>
        </w:rPr>
      </w:pPr>
    </w:p>
    <w:p>
      <w:pPr>
        <w:spacing w:line="440" w:lineRule="exact"/>
        <w:ind w:firstLine="420" w:firstLineChars="200"/>
        <w:jc w:val="center"/>
        <w:rPr>
          <w:rFonts w:cs="Calibri"/>
          <w:color w:val="000000"/>
        </w:rPr>
      </w:pPr>
    </w:p>
    <w:p>
      <w:pPr>
        <w:spacing w:line="440" w:lineRule="exact"/>
        <w:rPr>
          <w:rFonts w:cs="Calibri"/>
          <w:color w:val="000000"/>
          <w:sz w:val="44"/>
          <w:szCs w:val="44"/>
        </w:rPr>
      </w:pPr>
    </w:p>
    <w:p>
      <w:pPr>
        <w:spacing w:before="480" w:beforeLines="200" w:after="480" w:afterLines="200" w:line="440" w:lineRule="exact"/>
        <w:jc w:val="center"/>
        <w:rPr>
          <w:rFonts w:cs="Calibri"/>
          <w:b/>
          <w:bCs/>
          <w:color w:val="000000"/>
          <w:sz w:val="84"/>
          <w:szCs w:val="84"/>
        </w:rPr>
      </w:pPr>
      <w:r>
        <w:rPr>
          <w:rFonts w:cs="Calibri"/>
          <w:b/>
          <w:bCs/>
          <w:color w:val="000000"/>
          <w:sz w:val="84"/>
          <w:szCs w:val="84"/>
        </w:rPr>
        <w:t>投标文件</w:t>
      </w:r>
    </w:p>
    <w:p>
      <w:pPr>
        <w:spacing w:line="440" w:lineRule="exact"/>
        <w:ind w:firstLine="420" w:firstLineChars="200"/>
        <w:jc w:val="center"/>
        <w:rPr>
          <w:rFonts w:cs="Calibri"/>
          <w:color w:val="000000"/>
        </w:rPr>
      </w:pPr>
    </w:p>
    <w:p>
      <w:pPr>
        <w:spacing w:line="440" w:lineRule="exact"/>
        <w:ind w:firstLine="420" w:firstLineChars="200"/>
        <w:rPr>
          <w:rFonts w:cs="Calibri"/>
          <w:color w:val="000000"/>
        </w:rPr>
      </w:pPr>
      <w:r>
        <w:rPr>
          <w:rFonts w:cs="Calibri"/>
          <w:color w:val="000000"/>
        </w:rPr>
        <w:t xml:space="preserve">                  </w:t>
      </w: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440" w:lineRule="exact"/>
        <w:ind w:firstLine="420" w:firstLineChars="200"/>
        <w:jc w:val="center"/>
        <w:rPr>
          <w:rFonts w:cs="Calibri"/>
          <w:color w:val="000000"/>
        </w:rPr>
      </w:pPr>
    </w:p>
    <w:p>
      <w:pPr>
        <w:spacing w:line="360" w:lineRule="auto"/>
        <w:ind w:firstLine="1400" w:firstLineChars="500"/>
        <w:rPr>
          <w:rFonts w:cs="Calibri"/>
          <w:color w:val="000000"/>
          <w:sz w:val="28"/>
          <w:szCs w:val="28"/>
          <w:u w:val="single"/>
        </w:rPr>
      </w:pPr>
      <w:r>
        <w:rPr>
          <w:rFonts w:cs="Calibri"/>
          <w:color w:val="000000"/>
          <w:sz w:val="28"/>
          <w:szCs w:val="28"/>
        </w:rPr>
        <w:t>投标人：</w:t>
      </w:r>
      <w:r>
        <w:rPr>
          <w:rFonts w:cs="Calibri"/>
          <w:color w:val="000000"/>
          <w:sz w:val="28"/>
          <w:szCs w:val="28"/>
          <w:u w:val="single"/>
        </w:rPr>
        <w:t xml:space="preserve">                （盖单位章）           </w:t>
      </w:r>
    </w:p>
    <w:p>
      <w:pPr>
        <w:spacing w:line="360" w:lineRule="auto"/>
        <w:ind w:firstLine="1400" w:firstLineChars="500"/>
        <w:rPr>
          <w:rFonts w:cs="Calibri"/>
          <w:color w:val="000000"/>
          <w:sz w:val="28"/>
          <w:szCs w:val="28"/>
        </w:rPr>
      </w:pPr>
      <w:r>
        <w:rPr>
          <w:rFonts w:cs="Calibri"/>
          <w:color w:val="000000"/>
          <w:sz w:val="28"/>
          <w:szCs w:val="28"/>
        </w:rPr>
        <w:t>法定代表人或其委托代理人：</w:t>
      </w:r>
      <w:r>
        <w:rPr>
          <w:rFonts w:cs="Calibri"/>
          <w:color w:val="000000"/>
          <w:sz w:val="28"/>
          <w:szCs w:val="28"/>
          <w:u w:val="single"/>
        </w:rPr>
        <w:t xml:space="preserve">   （签字或盖章）   </w:t>
      </w:r>
    </w:p>
    <w:p>
      <w:pPr>
        <w:spacing w:line="360" w:lineRule="auto"/>
        <w:ind w:firstLine="1400" w:firstLineChars="500"/>
        <w:rPr>
          <w:rFonts w:cs="Calibri"/>
          <w:color w:val="000000"/>
          <w:sz w:val="28"/>
          <w:szCs w:val="28"/>
        </w:rPr>
      </w:pPr>
      <w:r>
        <w:rPr>
          <w:rFonts w:cs="Calibri"/>
          <w:color w:val="000000"/>
          <w:sz w:val="28"/>
          <w:szCs w:val="28"/>
        </w:rPr>
        <w:t>日  期：</w:t>
      </w:r>
      <w:r>
        <w:rPr>
          <w:rFonts w:cs="Calibri"/>
          <w:color w:val="000000"/>
          <w:sz w:val="28"/>
          <w:szCs w:val="28"/>
          <w:u w:val="single"/>
        </w:rPr>
        <w:t xml:space="preserve">        </w:t>
      </w:r>
      <w:r>
        <w:rPr>
          <w:rFonts w:cs="Calibri"/>
          <w:color w:val="000000"/>
          <w:sz w:val="28"/>
          <w:szCs w:val="28"/>
        </w:rPr>
        <w:t>年</w:t>
      </w:r>
      <w:r>
        <w:rPr>
          <w:rFonts w:cs="Calibri"/>
          <w:color w:val="000000"/>
          <w:sz w:val="28"/>
          <w:szCs w:val="28"/>
          <w:u w:val="single"/>
        </w:rPr>
        <w:t xml:space="preserve">         </w:t>
      </w:r>
      <w:r>
        <w:rPr>
          <w:rFonts w:cs="Calibri"/>
          <w:color w:val="000000"/>
          <w:sz w:val="28"/>
          <w:szCs w:val="28"/>
        </w:rPr>
        <w:t>月</w:t>
      </w:r>
      <w:r>
        <w:rPr>
          <w:rFonts w:cs="Calibri"/>
          <w:color w:val="000000"/>
          <w:sz w:val="28"/>
          <w:szCs w:val="28"/>
          <w:u w:val="single"/>
        </w:rPr>
        <w:t xml:space="preserve">        </w:t>
      </w:r>
      <w:r>
        <w:rPr>
          <w:rFonts w:cs="Calibri"/>
          <w:color w:val="000000"/>
          <w:sz w:val="28"/>
          <w:szCs w:val="28"/>
        </w:rPr>
        <w:t>日</w:t>
      </w:r>
    </w:p>
    <w:p>
      <w:pPr>
        <w:widowControl/>
        <w:jc w:val="left"/>
        <w:rPr>
          <w:rFonts w:ascii="宋体" w:hAnsi="宋体" w:cs="宋体"/>
          <w:b/>
          <w:szCs w:val="21"/>
        </w:rPr>
      </w:pPr>
    </w:p>
    <w:p>
      <w:pPr>
        <w:widowControl/>
        <w:jc w:val="left"/>
        <w:rPr>
          <w:rFonts w:ascii="宋体" w:hAnsi="宋体" w:cs="宋体"/>
          <w:b/>
          <w:szCs w:val="21"/>
        </w:rPr>
      </w:pPr>
      <w:r>
        <w:rPr>
          <w:rFonts w:ascii="宋体" w:hAnsi="宋体" w:cs="宋体"/>
          <w:b/>
          <w:szCs w:val="21"/>
        </w:rPr>
        <w:br w:type="page"/>
      </w:r>
    </w:p>
    <w:p>
      <w:pPr>
        <w:spacing w:line="360" w:lineRule="auto"/>
        <w:jc w:val="left"/>
        <w:rPr>
          <w:rFonts w:ascii="宋体" w:hAnsi="宋体" w:cs="宋体"/>
          <w:b/>
          <w:szCs w:val="21"/>
        </w:rPr>
      </w:pPr>
    </w:p>
    <w:p>
      <w:pPr>
        <w:spacing w:line="360" w:lineRule="auto"/>
        <w:jc w:val="center"/>
        <w:rPr>
          <w:rFonts w:ascii="宋体" w:hAnsi="宋体" w:cs="宋体"/>
          <w:b/>
          <w:sz w:val="32"/>
          <w:szCs w:val="32"/>
        </w:rPr>
      </w:pPr>
      <w:r>
        <w:rPr>
          <w:rFonts w:hint="eastAsia" w:ascii="宋体" w:hAnsi="宋体" w:cs="宋体"/>
          <w:b/>
          <w:sz w:val="32"/>
          <w:szCs w:val="32"/>
        </w:rPr>
        <w:t>一、投标函</w:t>
      </w:r>
    </w:p>
    <w:p>
      <w:pPr>
        <w:spacing w:line="440" w:lineRule="exact"/>
        <w:rPr>
          <w:rFonts w:ascii="宋体" w:hAnsi="宋体"/>
          <w:sz w:val="22"/>
        </w:rPr>
      </w:pPr>
      <w:r>
        <w:rPr>
          <w:rFonts w:ascii="宋体" w:hAnsi="宋体"/>
          <w:sz w:val="22"/>
        </w:rPr>
        <w:t>致：</w:t>
      </w:r>
      <w:r>
        <w:rPr>
          <w:rFonts w:hint="eastAsia" w:ascii="宋体" w:hAnsi="宋体"/>
          <w:sz w:val="22"/>
        </w:rPr>
        <w:t>*</w:t>
      </w:r>
      <w:r>
        <w:rPr>
          <w:rFonts w:ascii="宋体" w:hAnsi="宋体"/>
          <w:sz w:val="22"/>
        </w:rPr>
        <w:t xml:space="preserve">************* </w:t>
      </w:r>
    </w:p>
    <w:p>
      <w:pPr>
        <w:spacing w:line="440" w:lineRule="exact"/>
        <w:ind w:firstLine="376" w:firstLineChars="171"/>
        <w:rPr>
          <w:rFonts w:ascii="宋体" w:hAnsi="宋体"/>
          <w:sz w:val="22"/>
        </w:rPr>
      </w:pPr>
      <w:r>
        <w:rPr>
          <w:rFonts w:ascii="宋体" w:hAnsi="宋体"/>
          <w:sz w:val="22"/>
        </w:rPr>
        <w:t>1．我方已仔细研究了</w:t>
      </w:r>
      <w:r>
        <w:rPr>
          <w:rFonts w:ascii="宋体" w:hAnsi="宋体"/>
          <w:sz w:val="22"/>
          <w:u w:val="single"/>
        </w:rPr>
        <w:t xml:space="preserve">          </w:t>
      </w:r>
      <w:r>
        <w:rPr>
          <w:rFonts w:ascii="宋体" w:hAnsi="宋体"/>
          <w:sz w:val="22"/>
        </w:rPr>
        <w:t>（项目名称）施工招标文件的全部内容，愿意以人民币（大写）</w:t>
      </w:r>
      <w:r>
        <w:rPr>
          <w:rFonts w:ascii="宋体" w:hAnsi="宋体"/>
          <w:sz w:val="22"/>
          <w:u w:val="single"/>
        </w:rPr>
        <w:t xml:space="preserve">         </w:t>
      </w:r>
      <w:r>
        <w:rPr>
          <w:rFonts w:ascii="宋体" w:hAnsi="宋体"/>
          <w:sz w:val="22"/>
        </w:rPr>
        <w:t>元（¥</w:t>
      </w:r>
      <w:r>
        <w:rPr>
          <w:rFonts w:ascii="宋体" w:hAnsi="宋体"/>
          <w:sz w:val="22"/>
          <w:u w:val="single"/>
        </w:rPr>
        <w:t xml:space="preserve">           </w:t>
      </w:r>
      <w:r>
        <w:rPr>
          <w:rFonts w:ascii="宋体" w:hAnsi="宋体"/>
          <w:sz w:val="22"/>
        </w:rPr>
        <w:t>）的投标总报价</w:t>
      </w:r>
      <w:r>
        <w:rPr>
          <w:rFonts w:hint="eastAsia" w:ascii="宋体" w:hAnsi="宋体"/>
          <w:sz w:val="22"/>
        </w:rPr>
        <w:t>，工期</w:t>
      </w:r>
      <w:r>
        <w:rPr>
          <w:rFonts w:hint="eastAsia" w:ascii="宋体" w:hAnsi="宋体"/>
          <w:sz w:val="22"/>
          <w:u w:val="single"/>
        </w:rPr>
        <w:t xml:space="preserve">      </w:t>
      </w:r>
      <w:r>
        <w:rPr>
          <w:rFonts w:hint="eastAsia" w:ascii="宋体" w:hAnsi="宋体"/>
          <w:sz w:val="22"/>
        </w:rPr>
        <w:t>日历天，</w:t>
      </w:r>
      <w:r>
        <w:rPr>
          <w:rFonts w:ascii="宋体" w:hAnsi="宋体"/>
          <w:sz w:val="22"/>
        </w:rPr>
        <w:t>按合同约定实施和完成承包工程，修补工程中的任何缺陷，工程质量达到</w:t>
      </w:r>
      <w:r>
        <w:rPr>
          <w:rFonts w:hint="eastAsia" w:ascii="宋体" w:hAnsi="宋体"/>
          <w:sz w:val="22"/>
        </w:rPr>
        <w:t>一次验收合格</w:t>
      </w:r>
      <w:r>
        <w:rPr>
          <w:rFonts w:ascii="宋体" w:hAnsi="宋体"/>
          <w:sz w:val="22"/>
        </w:rPr>
        <w:t xml:space="preserve"> 。</w:t>
      </w:r>
    </w:p>
    <w:p>
      <w:pPr>
        <w:spacing w:line="440" w:lineRule="exact"/>
        <w:ind w:firstLine="440" w:firstLineChars="200"/>
        <w:rPr>
          <w:rFonts w:ascii="宋体" w:hAnsi="宋体"/>
          <w:sz w:val="22"/>
        </w:rPr>
      </w:pPr>
      <w:r>
        <w:rPr>
          <w:rFonts w:ascii="宋体" w:hAnsi="宋体"/>
          <w:sz w:val="22"/>
        </w:rPr>
        <w:t>2．我方承诺在投标有效期内不修改、撤销投标文件。</w:t>
      </w:r>
    </w:p>
    <w:p>
      <w:pPr>
        <w:spacing w:line="440" w:lineRule="exact"/>
        <w:ind w:firstLine="440" w:firstLineChars="200"/>
        <w:rPr>
          <w:rFonts w:ascii="宋体" w:hAnsi="宋体"/>
          <w:sz w:val="22"/>
        </w:rPr>
      </w:pPr>
      <w:r>
        <w:rPr>
          <w:rFonts w:hint="eastAsia" w:ascii="宋体" w:hAnsi="宋体"/>
          <w:sz w:val="22"/>
        </w:rPr>
        <w:t>3</w:t>
      </w:r>
      <w:r>
        <w:rPr>
          <w:rFonts w:ascii="宋体" w:hAnsi="宋体"/>
          <w:sz w:val="22"/>
        </w:rPr>
        <w:t>．如我方中标：</w:t>
      </w:r>
    </w:p>
    <w:p>
      <w:pPr>
        <w:spacing w:line="440" w:lineRule="exact"/>
        <w:ind w:firstLine="752" w:firstLineChars="342"/>
        <w:rPr>
          <w:rFonts w:ascii="宋体" w:hAnsi="宋体"/>
          <w:sz w:val="22"/>
        </w:rPr>
      </w:pPr>
      <w:r>
        <w:rPr>
          <w:rFonts w:ascii="宋体" w:hAnsi="宋体"/>
          <w:sz w:val="22"/>
        </w:rPr>
        <w:t>（1）我方承诺在收到中标通知书后，在中标通知书规定的期限内与你方签订合同。</w:t>
      </w:r>
    </w:p>
    <w:p>
      <w:pPr>
        <w:spacing w:line="440" w:lineRule="exact"/>
        <w:ind w:firstLine="752" w:firstLineChars="342"/>
        <w:rPr>
          <w:rFonts w:ascii="宋体" w:hAnsi="宋体"/>
          <w:sz w:val="22"/>
        </w:rPr>
      </w:pPr>
      <w:r>
        <w:rPr>
          <w:rFonts w:ascii="宋体" w:hAnsi="宋体"/>
          <w:sz w:val="22"/>
        </w:rPr>
        <w:t>（</w:t>
      </w:r>
      <w:r>
        <w:rPr>
          <w:rFonts w:hint="eastAsia" w:ascii="宋体" w:hAnsi="宋体"/>
          <w:sz w:val="22"/>
        </w:rPr>
        <w:t>2</w:t>
      </w:r>
      <w:r>
        <w:rPr>
          <w:rFonts w:ascii="宋体" w:hAnsi="宋体"/>
          <w:sz w:val="22"/>
        </w:rPr>
        <w:t>）我方承诺按照招标文件</w:t>
      </w:r>
      <w:r>
        <w:rPr>
          <w:rFonts w:hint="eastAsia" w:ascii="宋体" w:hAnsi="宋体"/>
          <w:sz w:val="22"/>
        </w:rPr>
        <w:t>及合同</w:t>
      </w:r>
      <w:r>
        <w:rPr>
          <w:rFonts w:ascii="宋体" w:hAnsi="宋体"/>
          <w:sz w:val="22"/>
        </w:rPr>
        <w:t>规定向你方递交履约</w:t>
      </w:r>
      <w:r>
        <w:rPr>
          <w:rFonts w:hint="eastAsia" w:ascii="宋体" w:hAnsi="宋体"/>
          <w:sz w:val="22"/>
        </w:rPr>
        <w:t>保证金</w:t>
      </w:r>
      <w:r>
        <w:rPr>
          <w:rFonts w:ascii="宋体" w:hAnsi="宋体"/>
          <w:sz w:val="22"/>
        </w:rPr>
        <w:t>。</w:t>
      </w:r>
    </w:p>
    <w:p>
      <w:pPr>
        <w:spacing w:line="440" w:lineRule="exact"/>
        <w:ind w:firstLine="752" w:firstLineChars="342"/>
        <w:rPr>
          <w:rFonts w:ascii="宋体" w:hAnsi="宋体"/>
          <w:sz w:val="22"/>
        </w:rPr>
      </w:pPr>
      <w:r>
        <w:rPr>
          <w:rFonts w:ascii="宋体" w:hAnsi="宋体"/>
          <w:sz w:val="22"/>
        </w:rPr>
        <w:t>（</w:t>
      </w:r>
      <w:r>
        <w:rPr>
          <w:rFonts w:hint="eastAsia" w:ascii="宋体" w:hAnsi="宋体"/>
          <w:sz w:val="22"/>
        </w:rPr>
        <w:t>3</w:t>
      </w:r>
      <w:r>
        <w:rPr>
          <w:rFonts w:ascii="宋体" w:hAnsi="宋体"/>
          <w:sz w:val="22"/>
        </w:rPr>
        <w:t>）我方承诺在合同约定的期限内完成并移交全部合同工程。</w:t>
      </w:r>
    </w:p>
    <w:p>
      <w:pPr>
        <w:spacing w:line="440" w:lineRule="exact"/>
        <w:ind w:firstLine="440" w:firstLineChars="200"/>
        <w:rPr>
          <w:rFonts w:ascii="宋体" w:hAnsi="宋体"/>
          <w:sz w:val="22"/>
        </w:rPr>
      </w:pPr>
      <w:r>
        <w:rPr>
          <w:rFonts w:hint="eastAsia" w:ascii="宋体" w:hAnsi="宋体"/>
          <w:sz w:val="22"/>
        </w:rPr>
        <w:t>4</w:t>
      </w:r>
      <w:r>
        <w:rPr>
          <w:rFonts w:ascii="宋体" w:hAnsi="宋体"/>
          <w:sz w:val="22"/>
        </w:rPr>
        <w:t>．</w:t>
      </w:r>
      <w:r>
        <w:rPr>
          <w:rFonts w:hint="eastAsia" w:ascii="宋体" w:hAnsi="宋体"/>
          <w:sz w:val="22"/>
        </w:rPr>
        <w:t>我方在此声明，所递交的投标文件及有关资料内容完整、真实和准确。</w:t>
      </w:r>
    </w:p>
    <w:p>
      <w:pPr>
        <w:spacing w:line="440" w:lineRule="exact"/>
        <w:ind w:firstLine="440" w:firstLineChars="200"/>
        <w:rPr>
          <w:rFonts w:ascii="宋体" w:hAnsi="宋体"/>
          <w:sz w:val="22"/>
        </w:rPr>
      </w:pPr>
      <w:r>
        <w:rPr>
          <w:rFonts w:hint="eastAsia" w:ascii="宋体" w:hAnsi="宋体"/>
          <w:sz w:val="22"/>
        </w:rPr>
        <w:t>5．</w:t>
      </w:r>
      <w:r>
        <w:rPr>
          <w:rFonts w:ascii="宋体" w:hAnsi="宋体"/>
          <w:sz w:val="22"/>
          <w:u w:val="single"/>
        </w:rPr>
        <w:t xml:space="preserve">                                       </w:t>
      </w:r>
      <w:r>
        <w:rPr>
          <w:rFonts w:ascii="宋体" w:hAnsi="宋体"/>
          <w:sz w:val="22"/>
        </w:rPr>
        <w:t>（</w:t>
      </w:r>
      <w:r>
        <w:rPr>
          <w:rFonts w:hint="eastAsia" w:ascii="宋体" w:hAnsi="宋体"/>
          <w:sz w:val="22"/>
        </w:rPr>
        <w:t>其他</w:t>
      </w:r>
      <w:r>
        <w:rPr>
          <w:rFonts w:ascii="宋体" w:hAnsi="宋体"/>
          <w:sz w:val="22"/>
        </w:rPr>
        <w:t>补充说明）。</w:t>
      </w:r>
    </w:p>
    <w:p>
      <w:pPr>
        <w:snapToGrid w:val="0"/>
        <w:spacing w:line="440" w:lineRule="exact"/>
        <w:ind w:firstLine="3300" w:firstLineChars="1500"/>
        <w:rPr>
          <w:rFonts w:ascii="宋体" w:hAnsi="宋体"/>
          <w:sz w:val="22"/>
        </w:rPr>
      </w:pPr>
    </w:p>
    <w:p>
      <w:pPr>
        <w:snapToGrid w:val="0"/>
        <w:spacing w:line="440" w:lineRule="exact"/>
        <w:ind w:firstLine="3300" w:firstLineChars="1500"/>
        <w:rPr>
          <w:rFonts w:ascii="宋体" w:hAnsi="宋体"/>
          <w:sz w:val="22"/>
        </w:rPr>
      </w:pP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投标人：（盖单位章）</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法定代表人或其委托代理人：（签字或盖章）</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地    址：</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邮政编码：</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电    话：</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传    真：</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开户银行：</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账    号：</w:t>
      </w:r>
    </w:p>
    <w:p>
      <w:pPr>
        <w:snapToGrid w:val="0"/>
        <w:spacing w:line="440" w:lineRule="exact"/>
        <w:ind w:firstLine="3300" w:firstLineChars="1500"/>
        <w:rPr>
          <w:rFonts w:cs="Calibri" w:asciiTheme="minorEastAsia" w:hAnsiTheme="minorEastAsia"/>
          <w:color w:val="000000"/>
          <w:sz w:val="22"/>
        </w:rPr>
      </w:pPr>
      <w:r>
        <w:rPr>
          <w:rFonts w:cs="Calibri" w:asciiTheme="minorEastAsia" w:hAnsiTheme="minorEastAsia"/>
          <w:color w:val="000000"/>
          <w:sz w:val="22"/>
        </w:rPr>
        <w:t>日    期：    年     月     日</w:t>
      </w:r>
    </w:p>
    <w:p>
      <w:pPr>
        <w:adjustRightInd w:val="0"/>
        <w:snapToGrid w:val="0"/>
        <w:jc w:val="center"/>
        <w:rPr>
          <w:rFonts w:eastAsia="黑体" w:cs="Calibri"/>
          <w:color w:val="000000"/>
          <w:sz w:val="32"/>
          <w:szCs w:val="32"/>
        </w:rPr>
      </w:pPr>
      <w:r>
        <w:rPr>
          <w:rFonts w:ascii="宋体" w:hAnsi="宋体" w:cs="Arial"/>
          <w:sz w:val="22"/>
        </w:rPr>
        <w:br w:type="page"/>
      </w:r>
      <w:r>
        <w:rPr>
          <w:rFonts w:hint="eastAsia" w:eastAsia="黑体" w:cs="Calibri"/>
          <w:color w:val="000000"/>
          <w:sz w:val="32"/>
          <w:szCs w:val="32"/>
        </w:rPr>
        <w:t>二</w:t>
      </w:r>
      <w:r>
        <w:rPr>
          <w:rFonts w:eastAsia="黑体" w:cs="Calibri"/>
          <w:color w:val="000000"/>
          <w:sz w:val="32"/>
          <w:szCs w:val="32"/>
        </w:rPr>
        <w:t>、法定代表人身份证明</w:t>
      </w:r>
    </w:p>
    <w:p>
      <w:pPr>
        <w:spacing w:after="120" w:afterLines="50" w:line="440" w:lineRule="exact"/>
        <w:rPr>
          <w:rFonts w:cs="Calibri"/>
          <w:color w:val="000000"/>
        </w:rPr>
      </w:pPr>
    </w:p>
    <w:p>
      <w:pPr>
        <w:spacing w:after="120" w:afterLines="50" w:line="440" w:lineRule="exact"/>
        <w:rPr>
          <w:rFonts w:cs="Calibri"/>
          <w:color w:val="000000"/>
          <w:sz w:val="22"/>
          <w:u w:val="single"/>
        </w:rPr>
      </w:pPr>
      <w:r>
        <w:rPr>
          <w:rFonts w:cs="Calibri"/>
          <w:color w:val="000000"/>
          <w:sz w:val="22"/>
        </w:rPr>
        <w:t>投标人名称：</w:t>
      </w:r>
      <w:r>
        <w:rPr>
          <w:rFonts w:cs="Calibri"/>
          <w:color w:val="000000"/>
          <w:sz w:val="22"/>
          <w:u w:val="single"/>
        </w:rPr>
        <w:t xml:space="preserve">                                  </w:t>
      </w:r>
    </w:p>
    <w:p>
      <w:pPr>
        <w:spacing w:after="120" w:afterLines="50" w:line="440" w:lineRule="exact"/>
        <w:rPr>
          <w:rFonts w:cs="Calibri"/>
          <w:color w:val="000000"/>
          <w:sz w:val="22"/>
          <w:u w:val="single"/>
        </w:rPr>
      </w:pPr>
      <w:r>
        <w:rPr>
          <w:rFonts w:cs="Calibri"/>
          <w:color w:val="000000"/>
          <w:sz w:val="22"/>
        </w:rPr>
        <w:t>单位性质：</w:t>
      </w:r>
      <w:r>
        <w:rPr>
          <w:rFonts w:cs="Calibri"/>
          <w:color w:val="000000"/>
          <w:sz w:val="22"/>
          <w:u w:val="single"/>
        </w:rPr>
        <w:t xml:space="preserve">                                    </w:t>
      </w:r>
    </w:p>
    <w:p>
      <w:pPr>
        <w:spacing w:after="120" w:afterLines="50" w:line="440" w:lineRule="exact"/>
        <w:rPr>
          <w:rFonts w:cs="Calibri"/>
          <w:color w:val="000000"/>
          <w:sz w:val="22"/>
          <w:u w:val="single"/>
        </w:rPr>
      </w:pPr>
      <w:r>
        <w:rPr>
          <w:rFonts w:cs="Calibri"/>
          <w:color w:val="000000"/>
          <w:sz w:val="22"/>
        </w:rPr>
        <w:t>地址：</w:t>
      </w:r>
      <w:r>
        <w:rPr>
          <w:rFonts w:cs="Calibri"/>
          <w:color w:val="000000"/>
          <w:sz w:val="22"/>
          <w:u w:val="single"/>
        </w:rPr>
        <w:t xml:space="preserve">                                        </w:t>
      </w:r>
    </w:p>
    <w:p>
      <w:pPr>
        <w:spacing w:after="120" w:afterLines="50" w:line="440" w:lineRule="exact"/>
        <w:rPr>
          <w:rFonts w:cs="Calibri"/>
          <w:color w:val="000000"/>
          <w:sz w:val="22"/>
          <w:u w:val="single"/>
        </w:rPr>
      </w:pPr>
      <w:r>
        <w:rPr>
          <w:rFonts w:cs="Calibri"/>
          <w:color w:val="000000"/>
          <w:sz w:val="22"/>
        </w:rPr>
        <w:t>成立时间：</w:t>
      </w:r>
      <w:r>
        <w:rPr>
          <w:rFonts w:cs="Calibri"/>
          <w:color w:val="000000"/>
          <w:sz w:val="22"/>
          <w:u w:val="single"/>
        </w:rPr>
        <w:t xml:space="preserve">          </w:t>
      </w:r>
      <w:r>
        <w:rPr>
          <w:rFonts w:cs="Calibri"/>
          <w:color w:val="000000"/>
          <w:sz w:val="22"/>
        </w:rPr>
        <w:t>年</w:t>
      </w:r>
      <w:r>
        <w:rPr>
          <w:rFonts w:cs="Calibri"/>
          <w:color w:val="000000"/>
          <w:sz w:val="22"/>
          <w:u w:val="single"/>
        </w:rPr>
        <w:t xml:space="preserve">           </w:t>
      </w:r>
      <w:r>
        <w:rPr>
          <w:rFonts w:cs="Calibri"/>
          <w:color w:val="000000"/>
          <w:sz w:val="22"/>
        </w:rPr>
        <w:t>月</w:t>
      </w:r>
      <w:r>
        <w:rPr>
          <w:rFonts w:cs="Calibri"/>
          <w:color w:val="000000"/>
          <w:sz w:val="22"/>
          <w:u w:val="single"/>
        </w:rPr>
        <w:t xml:space="preserve">           </w:t>
      </w:r>
      <w:r>
        <w:rPr>
          <w:rFonts w:cs="Calibri"/>
          <w:color w:val="000000"/>
          <w:sz w:val="22"/>
        </w:rPr>
        <w:t>日</w:t>
      </w:r>
    </w:p>
    <w:p>
      <w:pPr>
        <w:spacing w:after="120" w:afterLines="50" w:line="440" w:lineRule="exact"/>
        <w:rPr>
          <w:rFonts w:cs="Calibri"/>
          <w:color w:val="000000"/>
          <w:sz w:val="22"/>
          <w:u w:val="single"/>
        </w:rPr>
      </w:pPr>
      <w:r>
        <w:rPr>
          <w:rFonts w:cs="Calibri"/>
          <w:color w:val="000000"/>
          <w:sz w:val="22"/>
        </w:rPr>
        <w:t>经营期限：</w:t>
      </w:r>
      <w:r>
        <w:rPr>
          <w:rFonts w:cs="Calibri"/>
          <w:color w:val="000000"/>
          <w:sz w:val="22"/>
          <w:u w:val="single"/>
        </w:rPr>
        <w:t xml:space="preserve">                                     </w:t>
      </w:r>
    </w:p>
    <w:p>
      <w:pPr>
        <w:spacing w:after="120" w:afterLines="50" w:line="440" w:lineRule="exact"/>
        <w:rPr>
          <w:rFonts w:cs="Calibri"/>
          <w:color w:val="000000"/>
          <w:sz w:val="22"/>
          <w:u w:val="single"/>
        </w:rPr>
      </w:pPr>
      <w:r>
        <w:rPr>
          <w:rFonts w:cs="Calibri"/>
          <w:color w:val="000000"/>
          <w:sz w:val="22"/>
        </w:rPr>
        <w:t>姓名：</w:t>
      </w:r>
      <w:r>
        <w:rPr>
          <w:rFonts w:cs="Calibri"/>
          <w:color w:val="000000"/>
          <w:sz w:val="22"/>
          <w:u w:val="single"/>
        </w:rPr>
        <w:t xml:space="preserve">         </w:t>
      </w:r>
      <w:r>
        <w:rPr>
          <w:rFonts w:cs="Calibri"/>
          <w:color w:val="000000"/>
          <w:sz w:val="22"/>
        </w:rPr>
        <w:t xml:space="preserve">  性别：</w:t>
      </w:r>
      <w:r>
        <w:rPr>
          <w:rFonts w:cs="Calibri"/>
          <w:color w:val="000000"/>
          <w:sz w:val="22"/>
          <w:u w:val="single"/>
        </w:rPr>
        <w:t xml:space="preserve">         </w:t>
      </w:r>
      <w:r>
        <w:rPr>
          <w:rFonts w:cs="Calibri"/>
          <w:color w:val="000000"/>
          <w:sz w:val="22"/>
        </w:rPr>
        <w:t xml:space="preserve">  年龄：</w:t>
      </w:r>
      <w:r>
        <w:rPr>
          <w:rFonts w:cs="Calibri"/>
          <w:color w:val="000000"/>
          <w:sz w:val="22"/>
          <w:u w:val="single"/>
        </w:rPr>
        <w:t xml:space="preserve">         </w:t>
      </w:r>
      <w:r>
        <w:rPr>
          <w:rFonts w:cs="Calibri"/>
          <w:color w:val="000000"/>
          <w:sz w:val="22"/>
        </w:rPr>
        <w:t xml:space="preserve">  职务：</w:t>
      </w:r>
      <w:r>
        <w:rPr>
          <w:rFonts w:cs="Calibri"/>
          <w:color w:val="000000"/>
          <w:sz w:val="22"/>
          <w:u w:val="single"/>
        </w:rPr>
        <w:t xml:space="preserve">         </w:t>
      </w:r>
      <w:r>
        <w:rPr>
          <w:rFonts w:cs="Calibri"/>
          <w:color w:val="000000"/>
          <w:sz w:val="22"/>
        </w:rPr>
        <w:t xml:space="preserve">  </w:t>
      </w:r>
    </w:p>
    <w:p>
      <w:pPr>
        <w:spacing w:after="120" w:afterLines="50" w:line="440" w:lineRule="exact"/>
        <w:rPr>
          <w:rFonts w:cs="Calibri"/>
          <w:color w:val="000000"/>
          <w:sz w:val="22"/>
          <w:u w:val="single"/>
        </w:rPr>
      </w:pPr>
      <w:r>
        <w:rPr>
          <w:rFonts w:cs="Calibri"/>
          <w:color w:val="000000"/>
          <w:sz w:val="22"/>
        </w:rPr>
        <w:t>身份证号码：</w:t>
      </w:r>
      <w:r>
        <w:rPr>
          <w:rFonts w:cs="Calibri"/>
          <w:color w:val="000000"/>
          <w:sz w:val="22"/>
          <w:u w:val="single"/>
        </w:rPr>
        <w:t xml:space="preserve">                           </w:t>
      </w:r>
    </w:p>
    <w:p>
      <w:pPr>
        <w:spacing w:line="440" w:lineRule="exact"/>
        <w:ind w:firstLine="560"/>
        <w:rPr>
          <w:rFonts w:cs="Calibri"/>
          <w:color w:val="000000"/>
          <w:sz w:val="22"/>
        </w:rPr>
      </w:pPr>
    </w:p>
    <w:p>
      <w:pPr>
        <w:spacing w:line="440" w:lineRule="exact"/>
        <w:rPr>
          <w:rFonts w:cs="Calibri"/>
          <w:color w:val="000000"/>
          <w:sz w:val="22"/>
        </w:rPr>
      </w:pPr>
      <w:r>
        <w:rPr>
          <w:rFonts w:cs="Calibri"/>
          <w:color w:val="000000"/>
          <w:sz w:val="22"/>
        </w:rPr>
        <w:t xml:space="preserve">    系</w:t>
      </w:r>
      <w:r>
        <w:rPr>
          <w:rFonts w:cs="Calibri"/>
          <w:color w:val="000000"/>
          <w:sz w:val="22"/>
          <w:u w:val="single"/>
        </w:rPr>
        <w:t xml:space="preserve">                          </w:t>
      </w:r>
      <w:r>
        <w:rPr>
          <w:rFonts w:cs="Calibri"/>
          <w:color w:val="000000"/>
          <w:sz w:val="22"/>
        </w:rPr>
        <w:t>（投标人名称）的法定代表人。</w:t>
      </w:r>
    </w:p>
    <w:p>
      <w:pPr>
        <w:spacing w:line="440" w:lineRule="exact"/>
        <w:ind w:firstLine="560"/>
        <w:rPr>
          <w:rFonts w:cs="Calibri"/>
          <w:color w:val="000000"/>
          <w:sz w:val="22"/>
        </w:rPr>
      </w:pPr>
    </w:p>
    <w:p>
      <w:pPr>
        <w:spacing w:line="440" w:lineRule="exact"/>
        <w:rPr>
          <w:rFonts w:cs="Calibri"/>
          <w:color w:val="000000"/>
          <w:sz w:val="22"/>
        </w:rPr>
      </w:pPr>
      <w:r>
        <w:rPr>
          <w:rFonts w:cs="Calibri"/>
          <w:color w:val="000000"/>
          <w:sz w:val="22"/>
        </w:rPr>
        <w:t>特此证明。</w:t>
      </w:r>
    </w:p>
    <w:p>
      <w:pPr>
        <w:spacing w:line="440" w:lineRule="exact"/>
        <w:rPr>
          <w:rFonts w:cs="Calibri"/>
          <w:color w:val="000000"/>
          <w:sz w:val="22"/>
        </w:rPr>
      </w:pPr>
      <w:r>
        <w:rPr>
          <w:rFonts w:cs="Calibri"/>
          <w:color w:val="000000"/>
          <w:sz w:val="22"/>
        </w:rPr>
        <w:t>附：法定代表人身份证复印件</w:t>
      </w:r>
    </w:p>
    <w:p>
      <w:pPr>
        <w:spacing w:line="440" w:lineRule="exact"/>
        <w:rPr>
          <w:rFonts w:cs="Calibri"/>
          <w:color w:val="000000"/>
          <w:sz w:val="22"/>
        </w:rPr>
      </w:pPr>
      <w:r>
        <w:rPr>
          <w:rFonts w:cs="Calibri"/>
          <w:color w:val="000000"/>
          <w:sz w:val="22"/>
        </w:rPr>
        <w:t xml:space="preserve">投标人：（盖单位章） </w:t>
      </w:r>
    </w:p>
    <w:p>
      <w:pPr>
        <w:spacing w:line="440" w:lineRule="exact"/>
        <w:ind w:firstLine="4936" w:firstLineChars="2235"/>
        <w:rPr>
          <w:rFonts w:cs="Calibri"/>
          <w:b/>
          <w:color w:val="000000"/>
          <w:sz w:val="22"/>
        </w:rPr>
      </w:pPr>
      <w:r>
        <w:rPr>
          <w:rFonts w:cs="Calibri"/>
          <w:b/>
          <w:color w:val="000000"/>
          <w:sz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803275</wp:posOffset>
                </wp:positionV>
                <wp:extent cx="5372100" cy="2179320"/>
                <wp:effectExtent l="0" t="0" r="19050" b="1143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63.25pt;height:171.6pt;width:423pt;mso-wrap-distance-bottom:0pt;mso-wrap-distance-left:9pt;mso-wrap-distance-right:9pt;mso-wrap-distance-top:0pt;z-index:251659264;mso-width-relative:page;mso-height-relative:page;" fillcolor="#FFFFFF" filled="t" stroked="t" coordsize="21600,21600" o:gfxdata="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M&#10;zC8j1wAAAAgBAAAPAAAAAAAAAAEAIAAAACIAAABkcnMvZG93bnJldi54bWxQSwECFAAUAAAACACH&#10;TuJAGzSERiUCAAA6BAAADgAAAAAAAAABACAAAAAmAQAAZHJzL2Uyb0RvYy54bWxQSwUGAAAAAAYA&#10;BgBZAQAAvQU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v:textbox>
                <w10:wrap type="square"/>
              </v:shape>
            </w:pict>
          </mc:Fallback>
        </mc:AlternateContent>
      </w:r>
      <w:r>
        <w:rPr>
          <w:rFonts w:cs="Calibri"/>
          <w:color w:val="000000"/>
          <w:sz w:val="22"/>
        </w:rPr>
        <w:t>日期：   年    月    日</w:t>
      </w:r>
    </w:p>
    <w:p>
      <w:pPr>
        <w:spacing w:line="440" w:lineRule="exact"/>
        <w:jc w:val="center"/>
        <w:rPr>
          <w:rFonts w:eastAsia="黑体" w:cs="Calibri"/>
          <w:color w:val="000000"/>
          <w:sz w:val="28"/>
          <w:szCs w:val="28"/>
        </w:rPr>
      </w:pPr>
      <w:r>
        <w:rPr>
          <w:rFonts w:cs="Calibri"/>
          <w:color w:val="000000"/>
          <w:szCs w:val="21"/>
        </w:rPr>
        <w:br w:type="page"/>
      </w:r>
      <w:r>
        <w:rPr>
          <w:rFonts w:hint="eastAsia" w:eastAsia="黑体" w:cs="Calibri"/>
          <w:color w:val="000000"/>
          <w:sz w:val="32"/>
          <w:szCs w:val="32"/>
        </w:rPr>
        <w:t>三</w:t>
      </w:r>
      <w:r>
        <w:rPr>
          <w:rFonts w:eastAsia="黑体" w:cs="Calibri"/>
          <w:color w:val="000000"/>
          <w:sz w:val="32"/>
          <w:szCs w:val="32"/>
        </w:rPr>
        <w:t>、授权委托书</w:t>
      </w:r>
    </w:p>
    <w:p>
      <w:pPr>
        <w:spacing w:line="440" w:lineRule="exact"/>
        <w:ind w:firstLine="420" w:firstLineChars="200"/>
        <w:rPr>
          <w:rFonts w:cs="Calibri"/>
          <w:color w:val="000000"/>
          <w:szCs w:val="21"/>
        </w:rPr>
      </w:pPr>
    </w:p>
    <w:p>
      <w:pPr>
        <w:spacing w:line="440" w:lineRule="exact"/>
        <w:ind w:firstLine="440" w:firstLineChars="200"/>
        <w:rPr>
          <w:rFonts w:cs="Calibri"/>
          <w:color w:val="000000"/>
          <w:sz w:val="22"/>
        </w:rPr>
      </w:pPr>
      <w:r>
        <w:rPr>
          <w:rFonts w:cs="Calibri"/>
          <w:color w:val="000000"/>
          <w:sz w:val="22"/>
        </w:rPr>
        <w:t>本人</w:t>
      </w:r>
      <w:r>
        <w:rPr>
          <w:rFonts w:cs="Calibri"/>
          <w:color w:val="000000"/>
          <w:sz w:val="22"/>
          <w:u w:val="single"/>
        </w:rPr>
        <w:t xml:space="preserve">        </w:t>
      </w:r>
      <w:r>
        <w:rPr>
          <w:rFonts w:cs="Calibri"/>
          <w:color w:val="000000"/>
          <w:sz w:val="22"/>
        </w:rPr>
        <w:t>（姓名）系</w:t>
      </w:r>
      <w:r>
        <w:rPr>
          <w:rFonts w:cs="Calibri"/>
          <w:color w:val="000000"/>
          <w:sz w:val="22"/>
          <w:u w:val="single"/>
        </w:rPr>
        <w:t xml:space="preserve">                </w:t>
      </w:r>
      <w:r>
        <w:rPr>
          <w:rFonts w:cs="Calibri"/>
          <w:color w:val="000000"/>
          <w:sz w:val="22"/>
        </w:rPr>
        <w:t>（投标人名称）的法定代表人，现委托</w:t>
      </w:r>
      <w:r>
        <w:rPr>
          <w:rFonts w:cs="Calibri"/>
          <w:color w:val="000000"/>
          <w:sz w:val="22"/>
          <w:u w:val="single"/>
        </w:rPr>
        <w:t xml:space="preserve">      </w:t>
      </w:r>
      <w:r>
        <w:rPr>
          <w:rFonts w:cs="Calibri"/>
          <w:color w:val="000000"/>
          <w:sz w:val="22"/>
        </w:rPr>
        <w:t>（姓名）为我方代理人。代理人根据授权，以我方名义签署、澄清、说明、补正、递交、撤回、修改</w:t>
      </w:r>
      <w:r>
        <w:rPr>
          <w:rFonts w:cs="Calibri"/>
          <w:color w:val="000000"/>
          <w:sz w:val="22"/>
          <w:u w:val="single"/>
        </w:rPr>
        <w:t xml:space="preserve">              </w:t>
      </w:r>
      <w:r>
        <w:rPr>
          <w:rFonts w:cs="Calibri"/>
          <w:color w:val="000000"/>
          <w:sz w:val="22"/>
        </w:rPr>
        <w:t>（项目名称）投标文件、签订合同和处理有关事宜，其法律后果由我方承担。</w:t>
      </w:r>
    </w:p>
    <w:p>
      <w:pPr>
        <w:spacing w:line="440" w:lineRule="exact"/>
        <w:ind w:firstLine="440" w:firstLineChars="200"/>
        <w:rPr>
          <w:rFonts w:cs="Calibri"/>
          <w:color w:val="000000"/>
          <w:sz w:val="22"/>
        </w:rPr>
      </w:pPr>
      <w:r>
        <w:rPr>
          <w:rFonts w:cs="Calibri"/>
          <w:color w:val="000000"/>
          <w:sz w:val="22"/>
        </w:rPr>
        <w:t>代理人无转委托权。</w:t>
      </w:r>
    </w:p>
    <w:p>
      <w:pPr>
        <w:spacing w:line="440" w:lineRule="exact"/>
        <w:ind w:firstLine="440" w:firstLineChars="200"/>
        <w:rPr>
          <w:rFonts w:cs="Calibri"/>
          <w:color w:val="000000"/>
          <w:sz w:val="22"/>
        </w:rPr>
      </w:pPr>
      <w:r>
        <w:rPr>
          <w:rFonts w:cs="Calibri"/>
          <w:color w:val="000000"/>
          <w:sz w:val="22"/>
        </w:rPr>
        <w:t>附：委托代理人身份证复印件</w:t>
      </w:r>
    </w:p>
    <w:p>
      <w:pPr>
        <w:spacing w:line="440" w:lineRule="exact"/>
        <w:rPr>
          <w:rFonts w:cs="Calibri"/>
          <w:color w:val="000000"/>
          <w:sz w:val="22"/>
        </w:rPr>
      </w:pPr>
    </w:p>
    <w:p>
      <w:pPr>
        <w:spacing w:line="440" w:lineRule="exact"/>
        <w:rPr>
          <w:rFonts w:cs="Calibri"/>
          <w:color w:val="000000"/>
          <w:sz w:val="22"/>
        </w:rPr>
      </w:pPr>
      <w:r>
        <w:rPr>
          <w:rFonts w:cs="Calibri"/>
          <w:color w:val="000000"/>
          <w:sz w:val="22"/>
        </w:rPr>
        <w:t>投标人：（盖单位章）</w:t>
      </w:r>
    </w:p>
    <w:p>
      <w:pPr>
        <w:spacing w:line="440" w:lineRule="exact"/>
        <w:rPr>
          <w:rFonts w:cs="Calibri"/>
          <w:color w:val="000000"/>
          <w:sz w:val="22"/>
        </w:rPr>
      </w:pPr>
      <w:r>
        <w:rPr>
          <w:rFonts w:cs="Calibri"/>
          <w:color w:val="000000"/>
          <w:sz w:val="22"/>
        </w:rPr>
        <w:t>法定代表人：（签字或盖章）</w:t>
      </w:r>
    </w:p>
    <w:p>
      <w:pPr>
        <w:spacing w:line="440" w:lineRule="exact"/>
        <w:rPr>
          <w:rFonts w:cs="Calibri"/>
          <w:color w:val="000000"/>
          <w:sz w:val="22"/>
        </w:rPr>
      </w:pPr>
      <w:r>
        <w:rPr>
          <w:rFonts w:cs="Calibri"/>
          <w:color w:val="000000"/>
          <w:sz w:val="22"/>
        </w:rPr>
        <w:t>身份证号码：</w:t>
      </w:r>
    </w:p>
    <w:p>
      <w:pPr>
        <w:spacing w:line="440" w:lineRule="exact"/>
        <w:rPr>
          <w:rFonts w:cs="Calibri"/>
          <w:color w:val="000000"/>
          <w:sz w:val="22"/>
        </w:rPr>
      </w:pPr>
    </w:p>
    <w:p>
      <w:pPr>
        <w:spacing w:line="440" w:lineRule="exact"/>
        <w:rPr>
          <w:rFonts w:cs="Calibri"/>
          <w:color w:val="000000"/>
          <w:sz w:val="22"/>
        </w:rPr>
      </w:pPr>
      <w:r>
        <w:rPr>
          <w:rFonts w:cs="Calibri"/>
          <w:color w:val="000000"/>
          <w:sz w:val="22"/>
        </w:rPr>
        <w:t>委托的代理人：（签字或盖章）</w:t>
      </w:r>
    </w:p>
    <w:p>
      <w:pPr>
        <w:spacing w:line="440" w:lineRule="exact"/>
        <w:rPr>
          <w:rFonts w:cs="Calibri"/>
          <w:color w:val="000000"/>
          <w:sz w:val="22"/>
        </w:rPr>
      </w:pPr>
      <w:r>
        <w:rPr>
          <w:rFonts w:cs="Calibri"/>
          <w:color w:val="000000"/>
          <w:sz w:val="22"/>
        </w:rPr>
        <w:t>身份证号码：</w:t>
      </w:r>
    </w:p>
    <w:p>
      <w:pPr>
        <w:spacing w:line="440" w:lineRule="exact"/>
        <w:ind w:firstLine="4730" w:firstLineChars="2150"/>
        <w:rPr>
          <w:rFonts w:cs="Calibri"/>
          <w:color w:val="000000"/>
          <w:sz w:val="22"/>
        </w:rPr>
      </w:pPr>
      <w:r>
        <w:rPr>
          <w:rFonts w:cs="Calibri"/>
          <w:color w:val="000000"/>
          <w:sz w:val="22"/>
        </w:rPr>
        <w:t>日期：</w:t>
      </w:r>
      <w:r>
        <w:rPr>
          <w:rFonts w:cs="Calibri"/>
          <w:color w:val="000000"/>
          <w:sz w:val="22"/>
          <w:u w:val="single"/>
        </w:rPr>
        <w:t xml:space="preserve">      </w:t>
      </w:r>
      <w:r>
        <w:rPr>
          <w:rFonts w:cs="Calibri"/>
          <w:color w:val="000000"/>
          <w:sz w:val="22"/>
        </w:rPr>
        <w:t>年</w:t>
      </w:r>
      <w:r>
        <w:rPr>
          <w:rFonts w:cs="Calibri"/>
          <w:color w:val="000000"/>
          <w:sz w:val="22"/>
          <w:u w:val="single"/>
        </w:rPr>
        <w:t xml:space="preserve">      </w:t>
      </w:r>
      <w:r>
        <w:rPr>
          <w:rFonts w:cs="Calibri"/>
          <w:color w:val="000000"/>
          <w:sz w:val="22"/>
        </w:rPr>
        <w:t>月</w:t>
      </w:r>
      <w:r>
        <w:rPr>
          <w:rFonts w:cs="Calibri"/>
          <w:color w:val="000000"/>
          <w:sz w:val="22"/>
          <w:u w:val="single"/>
        </w:rPr>
        <w:t xml:space="preserve">      </w:t>
      </w:r>
      <w:r>
        <w:rPr>
          <w:rFonts w:cs="Calibri"/>
          <w:color w:val="000000"/>
          <w:sz w:val="22"/>
        </w:rPr>
        <w:t>日</w:t>
      </w:r>
    </w:p>
    <w:p>
      <w:pPr>
        <w:snapToGrid w:val="0"/>
        <w:spacing w:line="440" w:lineRule="exact"/>
        <w:rPr>
          <w:rFonts w:cs="Calibri"/>
          <w:color w:val="000000"/>
          <w:szCs w:val="21"/>
        </w:rPr>
      </w:pPr>
      <w:r>
        <w:rPr>
          <w:rFonts w:cs="Calibri"/>
          <w:b/>
          <w:color w:val="000000"/>
          <w:szCs w:val="21"/>
        </w:rPr>
        <mc:AlternateContent>
          <mc:Choice Requires="wps">
            <w:drawing>
              <wp:anchor distT="0" distB="0" distL="114300" distR="114300" simplePos="0" relativeHeight="251660288" behindDoc="0" locked="0" layoutInCell="1" allowOverlap="1">
                <wp:simplePos x="0" y="0"/>
                <wp:positionH relativeFrom="column">
                  <wp:posOffset>116205</wp:posOffset>
                </wp:positionH>
                <wp:positionV relativeFrom="paragraph">
                  <wp:posOffset>264160</wp:posOffset>
                </wp:positionV>
                <wp:extent cx="5372100" cy="2179320"/>
                <wp:effectExtent l="0" t="0" r="19050" b="11430"/>
                <wp:wrapSquare wrapText="bothSides"/>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28"/>
                                <w:szCs w:val="28"/>
                              </w:rPr>
                            </w:pPr>
                            <w:r>
                              <w:rPr>
                                <w:rFonts w:hint="eastAsia"/>
                                <w:szCs w:val="21"/>
                              </w:rPr>
                              <w:t>委托代理人身份证复印件粘贴处（正、反面）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5pt;margin-top:20.8pt;height:171.6pt;width:423pt;mso-wrap-distance-bottom:0pt;mso-wrap-distance-left:9pt;mso-wrap-distance-right:9pt;mso-wrap-distance-top:0pt;z-index:251660288;mso-width-relative:page;mso-height-relative:page;" fillcolor="#FFFFFF" filled="t" stroked="t" coordsize="21600,21600" o:gfxdata="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qT3rB1wAAAAkBAAAPAAAAAAAAAAEAIAAAACIAAABkcnMvZG93bnJldi54bWxQSwECFAAUAAAA&#10;CACHTuJAQ8k0QygCAAA6BAAADgAAAAAAAAABACAAAAAmAQAAZHJzL2Uyb0RvYy54bWxQSwUGAAAA&#10;AAYABgBZAQAAwAU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28"/>
                          <w:szCs w:val="28"/>
                        </w:rPr>
                      </w:pPr>
                      <w:r>
                        <w:rPr>
                          <w:rFonts w:hint="eastAsia"/>
                          <w:szCs w:val="21"/>
                        </w:rPr>
                        <w:t>委托代理人身份证复印件粘贴处（正、反面）</w:t>
                      </w:r>
                    </w:p>
                  </w:txbxContent>
                </v:textbox>
                <w10:wrap type="square"/>
              </v:shape>
            </w:pict>
          </mc:Fallback>
        </mc:AlternateContent>
      </w:r>
      <w:r>
        <w:rPr>
          <w:rFonts w:cs="Calibri"/>
          <w:color w:val="000000"/>
          <w:szCs w:val="21"/>
        </w:rPr>
        <w:t xml:space="preserve">                                  </w:t>
      </w:r>
    </w:p>
    <w:p>
      <w:pPr>
        <w:spacing w:line="440" w:lineRule="exact"/>
        <w:rPr>
          <w:rFonts w:cs="Calibri"/>
          <w:b/>
          <w:bCs/>
          <w:color w:val="000000"/>
          <w:szCs w:val="21"/>
        </w:rPr>
      </w:pPr>
      <w:r>
        <w:rPr>
          <w:rFonts w:cs="Calibri"/>
          <w:b/>
          <w:bCs/>
          <w:color w:val="000000"/>
          <w:szCs w:val="21"/>
        </w:rPr>
        <w:t xml:space="preserve">  </w:t>
      </w:r>
    </w:p>
    <w:p>
      <w:pPr>
        <w:spacing w:line="440" w:lineRule="exact"/>
        <w:rPr>
          <w:rFonts w:cs="Calibri"/>
          <w:b/>
          <w:bCs/>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b/>
          <w:bCs/>
          <w:color w:val="000000"/>
          <w:sz w:val="22"/>
        </w:rPr>
      </w:pPr>
      <w:r>
        <w:rPr>
          <w:rFonts w:cs="Calibri"/>
          <w:color w:val="000000"/>
          <w:sz w:val="22"/>
        </w:rPr>
        <w:t>注：如投标文件由委托代理人签字或盖章的，投标文件必须附此授权委托书。</w:t>
      </w:r>
      <w:r>
        <w:rPr>
          <w:rFonts w:cs="Calibri"/>
          <w:b/>
          <w:bCs/>
          <w:color w:val="000000"/>
          <w:sz w:val="22"/>
        </w:rPr>
        <w:t xml:space="preserve">     </w:t>
      </w:r>
    </w:p>
    <w:p>
      <w:pPr>
        <w:spacing w:line="360" w:lineRule="auto"/>
        <w:jc w:val="left"/>
        <w:rPr>
          <w:rFonts w:ascii="宋体" w:hAnsi="宋体" w:cs="宋体"/>
          <w:sz w:val="22"/>
        </w:rPr>
      </w:pPr>
    </w:p>
    <w:p>
      <w:pPr>
        <w:pStyle w:val="29"/>
        <w:spacing w:after="120" w:afterLines="50" w:line="360" w:lineRule="auto"/>
        <w:ind w:left="1382" w:hanging="422"/>
        <w:jc w:val="left"/>
        <w:rPr>
          <w:rFonts w:hAnsi="宋体" w:cs="宋体"/>
          <w:b/>
        </w:rPr>
      </w:pPr>
      <w:r>
        <w:rPr>
          <w:rFonts w:hAnsi="宋体" w:cs="宋体"/>
          <w:b/>
        </w:rPr>
        <w:br w:type="page"/>
      </w:r>
      <w:bookmarkStart w:id="99" w:name="_Toc133214102"/>
      <w:bookmarkStart w:id="100" w:name="_Toc133214309"/>
      <w:bookmarkStart w:id="101" w:name="_Toc133470542"/>
      <w:bookmarkStart w:id="102" w:name="_Toc137373398"/>
      <w:bookmarkStart w:id="103" w:name="_Toc144265958"/>
    </w:p>
    <w:p>
      <w:pPr>
        <w:pStyle w:val="29"/>
        <w:spacing w:after="120" w:afterLines="50" w:line="360" w:lineRule="auto"/>
        <w:ind w:left="1400" w:hanging="440"/>
        <w:jc w:val="left"/>
        <w:rPr>
          <w:rFonts w:hAnsi="宋体" w:cs="宋体"/>
          <w:sz w:val="22"/>
          <w:szCs w:val="22"/>
        </w:rPr>
      </w:pPr>
    </w:p>
    <w:p>
      <w:pPr>
        <w:spacing w:line="440" w:lineRule="exact"/>
        <w:jc w:val="center"/>
        <w:rPr>
          <w:rFonts w:ascii="Calibri" w:hAnsi="Calibri" w:eastAsia="黑体" w:cs="Calibri"/>
          <w:color w:val="000000"/>
          <w:sz w:val="32"/>
          <w:szCs w:val="32"/>
        </w:rPr>
      </w:pPr>
      <w:r>
        <w:rPr>
          <w:rFonts w:hint="eastAsia" w:ascii="Calibri" w:hAnsi="Calibri" w:eastAsia="黑体" w:cs="Calibri"/>
          <w:color w:val="000000"/>
          <w:sz w:val="32"/>
          <w:szCs w:val="32"/>
        </w:rPr>
        <w:t>四、已标价工程量清单</w:t>
      </w:r>
    </w:p>
    <w:p>
      <w:pPr>
        <w:pStyle w:val="29"/>
        <w:spacing w:after="120" w:afterLines="50" w:line="360" w:lineRule="auto"/>
        <w:ind w:left="1380" w:hanging="420"/>
        <w:jc w:val="center"/>
        <w:rPr>
          <w:rFonts w:hAnsi="宋体" w:cs="宋体"/>
        </w:rPr>
      </w:pPr>
    </w:p>
    <w:bookmarkEnd w:id="99"/>
    <w:bookmarkEnd w:id="100"/>
    <w:bookmarkEnd w:id="101"/>
    <w:bookmarkEnd w:id="102"/>
    <w:bookmarkEnd w:id="103"/>
    <w:p>
      <w:pPr>
        <w:snapToGrid w:val="0"/>
        <w:spacing w:before="120" w:beforeLines="50" w:line="360" w:lineRule="exact"/>
        <w:ind w:left="1134"/>
        <w:rPr>
          <w:rFonts w:ascii="宋体" w:hAnsi="宋体" w:cs="宋体"/>
          <w:sz w:val="22"/>
        </w:rPr>
      </w:pPr>
    </w:p>
    <w:p>
      <w:pPr>
        <w:spacing w:line="360" w:lineRule="auto"/>
        <w:jc w:val="center"/>
        <w:rPr>
          <w:rFonts w:ascii="宋体" w:hAnsi="宋体" w:cs="宋体"/>
          <w:sz w:val="22"/>
        </w:rPr>
      </w:pPr>
      <w:r>
        <w:rPr>
          <w:rFonts w:ascii="宋体" w:hAnsi="宋体" w:cs="宋体"/>
          <w:sz w:val="22"/>
        </w:rPr>
        <w:br w:type="page"/>
      </w:r>
    </w:p>
    <w:p>
      <w:pPr>
        <w:spacing w:line="440" w:lineRule="exact"/>
        <w:jc w:val="center"/>
        <w:rPr>
          <w:rFonts w:ascii="宋体" w:hAnsi="宋体" w:cs="Arial"/>
          <w:b/>
          <w:sz w:val="22"/>
        </w:rPr>
      </w:pPr>
    </w:p>
    <w:p>
      <w:pPr>
        <w:spacing w:line="440" w:lineRule="exact"/>
        <w:jc w:val="center"/>
        <w:rPr>
          <w:rFonts w:ascii="Calibri" w:hAnsi="Calibri" w:eastAsia="黑体" w:cs="Calibri"/>
          <w:color w:val="000000"/>
          <w:sz w:val="32"/>
          <w:szCs w:val="32"/>
        </w:rPr>
      </w:pPr>
      <w:r>
        <w:rPr>
          <w:rFonts w:hint="eastAsia" w:ascii="Calibri" w:hAnsi="Calibri" w:eastAsia="黑体" w:cs="Calibri"/>
          <w:color w:val="000000"/>
          <w:sz w:val="32"/>
          <w:szCs w:val="32"/>
        </w:rPr>
        <w:t>五、施工组织设计</w:t>
      </w:r>
    </w:p>
    <w:p>
      <w:pPr>
        <w:spacing w:line="440" w:lineRule="exact"/>
        <w:jc w:val="center"/>
        <w:rPr>
          <w:rFonts w:ascii="Calibri" w:hAnsi="Calibri" w:eastAsia="黑体" w:cs="Calibri"/>
          <w:color w:val="000000"/>
          <w:sz w:val="32"/>
          <w:szCs w:val="32"/>
        </w:rPr>
      </w:pPr>
    </w:p>
    <w:p>
      <w:pPr>
        <w:tabs>
          <w:tab w:val="left" w:pos="720"/>
        </w:tabs>
        <w:spacing w:line="440" w:lineRule="exact"/>
        <w:ind w:firstLine="440" w:firstLineChars="200"/>
        <w:rPr>
          <w:rFonts w:ascii="宋体" w:hAnsi="宋体"/>
          <w:sz w:val="22"/>
        </w:rPr>
      </w:pPr>
      <w:r>
        <w:rPr>
          <w:rFonts w:hint="eastAsia" w:ascii="宋体" w:hAnsi="宋体"/>
          <w:sz w:val="22"/>
        </w:rPr>
        <w:t xml:space="preserve">1. </w:t>
      </w:r>
      <w:r>
        <w:rPr>
          <w:rFonts w:hint="eastAsia" w:ascii="宋体" w:hAnsi="宋体"/>
          <w:sz w:val="22"/>
        </w:rPr>
        <w:tab/>
      </w:r>
      <w:r>
        <w:rPr>
          <w:rFonts w:hint="eastAsia" w:ascii="宋体" w:hAnsi="宋体"/>
          <w:sz w:val="22"/>
        </w:rPr>
        <w:t>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tabs>
          <w:tab w:val="left" w:pos="720"/>
        </w:tabs>
        <w:spacing w:line="440" w:lineRule="exact"/>
        <w:ind w:firstLine="440" w:firstLineChars="200"/>
        <w:rPr>
          <w:rFonts w:ascii="宋体" w:hAnsi="宋体"/>
          <w:sz w:val="22"/>
        </w:rPr>
      </w:pPr>
      <w:r>
        <w:rPr>
          <w:rFonts w:hint="eastAsia" w:ascii="宋体" w:hAnsi="宋体"/>
          <w:sz w:val="22"/>
        </w:rPr>
        <w:t xml:space="preserve">2. </w:t>
      </w:r>
      <w:r>
        <w:rPr>
          <w:rFonts w:hint="eastAsia" w:ascii="宋体" w:hAnsi="宋体"/>
          <w:sz w:val="22"/>
        </w:rPr>
        <w:tab/>
      </w:r>
      <w:r>
        <w:rPr>
          <w:rFonts w:hint="eastAsia" w:ascii="宋体" w:hAnsi="宋体"/>
          <w:sz w:val="22"/>
        </w:rPr>
        <w:t>施工组织设计除采用文字表述外可附下列图表，图表及格式要求附后。</w:t>
      </w:r>
    </w:p>
    <w:p>
      <w:pPr>
        <w:tabs>
          <w:tab w:val="left" w:pos="720"/>
        </w:tabs>
        <w:spacing w:line="440" w:lineRule="exact"/>
        <w:ind w:firstLine="792" w:firstLineChars="360"/>
        <w:rPr>
          <w:rFonts w:ascii="宋体" w:hAnsi="宋体"/>
          <w:sz w:val="22"/>
        </w:rPr>
      </w:pPr>
      <w:r>
        <w:rPr>
          <w:rFonts w:hint="eastAsia" w:ascii="宋体" w:hAnsi="宋体"/>
          <w:sz w:val="22"/>
        </w:rPr>
        <w:t>附表一  拟投入本标段的主要施工设备表</w:t>
      </w:r>
    </w:p>
    <w:p>
      <w:pPr>
        <w:tabs>
          <w:tab w:val="left" w:pos="720"/>
        </w:tabs>
        <w:spacing w:line="440" w:lineRule="exact"/>
        <w:ind w:firstLine="792" w:firstLineChars="360"/>
        <w:rPr>
          <w:rFonts w:ascii="宋体" w:hAnsi="宋体"/>
          <w:sz w:val="22"/>
        </w:rPr>
      </w:pPr>
      <w:r>
        <w:rPr>
          <w:rFonts w:hint="eastAsia" w:ascii="宋体" w:hAnsi="宋体"/>
          <w:sz w:val="22"/>
        </w:rPr>
        <w:t>附表二  拟配备本标段的试验和检测仪器设备表</w:t>
      </w:r>
    </w:p>
    <w:p>
      <w:pPr>
        <w:tabs>
          <w:tab w:val="left" w:pos="720"/>
        </w:tabs>
        <w:spacing w:line="440" w:lineRule="exact"/>
        <w:ind w:firstLine="792" w:firstLineChars="360"/>
        <w:rPr>
          <w:rFonts w:ascii="宋体" w:hAnsi="宋体"/>
          <w:sz w:val="22"/>
        </w:rPr>
      </w:pPr>
      <w:r>
        <w:rPr>
          <w:rFonts w:hint="eastAsia" w:ascii="宋体" w:hAnsi="宋体"/>
          <w:sz w:val="22"/>
        </w:rPr>
        <w:t>附表三  劳动力计划表</w:t>
      </w:r>
    </w:p>
    <w:p>
      <w:pPr>
        <w:tabs>
          <w:tab w:val="left" w:pos="720"/>
        </w:tabs>
        <w:spacing w:line="440" w:lineRule="exact"/>
        <w:ind w:firstLine="792" w:firstLineChars="360"/>
        <w:rPr>
          <w:rFonts w:ascii="宋体" w:hAnsi="宋体"/>
          <w:sz w:val="22"/>
        </w:rPr>
      </w:pPr>
      <w:r>
        <w:rPr>
          <w:rFonts w:hint="eastAsia" w:ascii="宋体" w:hAnsi="宋体"/>
          <w:sz w:val="22"/>
        </w:rPr>
        <w:t>附表四  计划开、竣工日期和施工进度网络图</w:t>
      </w:r>
    </w:p>
    <w:p>
      <w:pPr>
        <w:tabs>
          <w:tab w:val="left" w:pos="720"/>
        </w:tabs>
        <w:spacing w:line="440" w:lineRule="exact"/>
        <w:ind w:firstLine="792" w:firstLineChars="360"/>
        <w:rPr>
          <w:rFonts w:ascii="宋体" w:hAnsi="宋体"/>
          <w:sz w:val="22"/>
        </w:rPr>
      </w:pPr>
      <w:r>
        <w:rPr>
          <w:rFonts w:hint="eastAsia" w:ascii="宋体" w:hAnsi="宋体"/>
          <w:sz w:val="22"/>
        </w:rPr>
        <w:t>附表五  施工总平面图</w:t>
      </w:r>
    </w:p>
    <w:p>
      <w:pPr>
        <w:widowControl/>
        <w:jc w:val="left"/>
        <w:rPr>
          <w:rFonts w:ascii="宋体" w:hAnsi="宋体" w:cs="宋体"/>
          <w:b/>
          <w:sz w:val="32"/>
          <w:szCs w:val="32"/>
        </w:rPr>
      </w:pPr>
      <w:r>
        <w:rPr>
          <w:rFonts w:ascii="宋体" w:hAnsi="宋体" w:cs="宋体"/>
          <w:b/>
          <w:sz w:val="32"/>
          <w:szCs w:val="32"/>
        </w:rPr>
        <w:br w:type="page"/>
      </w:r>
    </w:p>
    <w:p>
      <w:pPr>
        <w:pStyle w:val="126"/>
        <w:rPr>
          <w:rFonts w:ascii="宋体" w:hAnsi="宋体" w:eastAsia="宋体"/>
          <w:szCs w:val="23"/>
        </w:rPr>
      </w:pPr>
      <w:bookmarkStart w:id="104" w:name="_Toc144974865"/>
      <w:bookmarkStart w:id="105" w:name="_Toc152042586"/>
      <w:bookmarkStart w:id="106" w:name="_Toc11710"/>
      <w:bookmarkStart w:id="107" w:name="_Toc179632817"/>
      <w:bookmarkStart w:id="108" w:name="_Toc246392155"/>
      <w:bookmarkStart w:id="109" w:name="_Toc152045797"/>
      <w:r>
        <w:rPr>
          <w:rFonts w:hint="eastAsia" w:ascii="宋体" w:hAnsi="宋体" w:eastAsia="宋体"/>
        </w:rPr>
        <w:t>附表一：</w:t>
      </w:r>
      <w:r>
        <w:rPr>
          <w:rFonts w:hint="eastAsia" w:ascii="宋体" w:hAnsi="宋体" w:eastAsia="宋体"/>
          <w:szCs w:val="23"/>
        </w:rPr>
        <w:t>拟投入本标段的主要施工设备表</w:t>
      </w:r>
      <w:bookmarkEnd w:id="104"/>
      <w:bookmarkEnd w:id="105"/>
      <w:bookmarkEnd w:id="106"/>
      <w:bookmarkEnd w:id="107"/>
      <w:bookmarkEnd w:id="108"/>
      <w:bookmarkEnd w:id="109"/>
    </w:p>
    <w:p>
      <w:pPr>
        <w:spacing w:line="440" w:lineRule="exact"/>
        <w:rPr>
          <w:rFonts w:ascii="宋体" w:hAnsi="宋体"/>
          <w:sz w:val="20"/>
          <w:szCs w:val="20"/>
        </w:rPr>
      </w:pPr>
    </w:p>
    <w:tbl>
      <w:tblPr>
        <w:tblStyle w:val="52"/>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183"/>
        <w:gridCol w:w="908"/>
        <w:gridCol w:w="880"/>
        <w:gridCol w:w="802"/>
        <w:gridCol w:w="879"/>
        <w:gridCol w:w="903"/>
        <w:gridCol w:w="1043"/>
        <w:gridCol w:w="940"/>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pPr>
              <w:spacing w:line="440" w:lineRule="exact"/>
              <w:rPr>
                <w:rFonts w:ascii="宋体" w:hAnsi="宋体"/>
                <w:szCs w:val="21"/>
              </w:rPr>
            </w:pPr>
            <w:r>
              <w:rPr>
                <w:rFonts w:hint="eastAsia" w:ascii="宋体" w:hAnsi="宋体"/>
                <w:szCs w:val="21"/>
              </w:rPr>
              <w:t>序号</w:t>
            </w:r>
          </w:p>
        </w:tc>
        <w:tc>
          <w:tcPr>
            <w:tcW w:w="1183" w:type="dxa"/>
            <w:vAlign w:val="center"/>
          </w:tcPr>
          <w:p>
            <w:pPr>
              <w:spacing w:line="440" w:lineRule="exact"/>
              <w:jc w:val="center"/>
              <w:rPr>
                <w:rFonts w:ascii="宋体" w:hAnsi="宋体"/>
                <w:szCs w:val="21"/>
              </w:rPr>
            </w:pPr>
            <w:r>
              <w:rPr>
                <w:rFonts w:hint="eastAsia" w:ascii="宋体" w:hAnsi="宋体"/>
                <w:szCs w:val="21"/>
              </w:rPr>
              <w:t>设备名称</w:t>
            </w:r>
          </w:p>
        </w:tc>
        <w:tc>
          <w:tcPr>
            <w:tcW w:w="908" w:type="dxa"/>
            <w:vAlign w:val="center"/>
          </w:tcPr>
          <w:p>
            <w:pPr>
              <w:spacing w:line="440" w:lineRule="exact"/>
              <w:jc w:val="center"/>
              <w:rPr>
                <w:rFonts w:ascii="宋体" w:hAnsi="宋体"/>
                <w:szCs w:val="21"/>
              </w:rPr>
            </w:pPr>
            <w:r>
              <w:rPr>
                <w:rFonts w:hint="eastAsia" w:ascii="宋体" w:hAnsi="宋体"/>
                <w:szCs w:val="21"/>
              </w:rPr>
              <w:t>型号</w:t>
            </w:r>
          </w:p>
          <w:p>
            <w:pPr>
              <w:spacing w:line="440" w:lineRule="exact"/>
              <w:jc w:val="center"/>
              <w:rPr>
                <w:rFonts w:ascii="宋体" w:hAnsi="宋体"/>
                <w:szCs w:val="21"/>
              </w:rPr>
            </w:pPr>
            <w:r>
              <w:rPr>
                <w:rFonts w:hint="eastAsia" w:ascii="宋体" w:hAnsi="宋体"/>
                <w:szCs w:val="21"/>
              </w:rPr>
              <w:t>规格</w:t>
            </w:r>
          </w:p>
        </w:tc>
        <w:tc>
          <w:tcPr>
            <w:tcW w:w="880" w:type="dxa"/>
            <w:vAlign w:val="center"/>
          </w:tcPr>
          <w:p>
            <w:pPr>
              <w:spacing w:line="440" w:lineRule="exact"/>
              <w:jc w:val="center"/>
              <w:rPr>
                <w:rFonts w:ascii="宋体" w:hAnsi="宋体"/>
                <w:szCs w:val="21"/>
              </w:rPr>
            </w:pPr>
            <w:r>
              <w:rPr>
                <w:rFonts w:hint="eastAsia" w:ascii="宋体" w:hAnsi="宋体"/>
                <w:szCs w:val="21"/>
              </w:rPr>
              <w:t>数量</w:t>
            </w:r>
          </w:p>
        </w:tc>
        <w:tc>
          <w:tcPr>
            <w:tcW w:w="802" w:type="dxa"/>
            <w:vAlign w:val="center"/>
          </w:tcPr>
          <w:p>
            <w:pPr>
              <w:spacing w:line="440" w:lineRule="exact"/>
              <w:jc w:val="center"/>
              <w:rPr>
                <w:rFonts w:ascii="宋体" w:hAnsi="宋体"/>
                <w:szCs w:val="21"/>
              </w:rPr>
            </w:pPr>
            <w:r>
              <w:rPr>
                <w:rFonts w:hint="eastAsia" w:ascii="宋体" w:hAnsi="宋体"/>
                <w:szCs w:val="21"/>
              </w:rPr>
              <w:t>国别</w:t>
            </w:r>
          </w:p>
          <w:p>
            <w:pPr>
              <w:spacing w:line="440" w:lineRule="exact"/>
              <w:jc w:val="center"/>
              <w:rPr>
                <w:rFonts w:ascii="宋体" w:hAnsi="宋体"/>
                <w:szCs w:val="21"/>
              </w:rPr>
            </w:pPr>
            <w:r>
              <w:rPr>
                <w:rFonts w:hint="eastAsia" w:ascii="宋体" w:hAnsi="宋体"/>
                <w:szCs w:val="21"/>
              </w:rPr>
              <w:t>产地</w:t>
            </w:r>
          </w:p>
        </w:tc>
        <w:tc>
          <w:tcPr>
            <w:tcW w:w="879" w:type="dxa"/>
            <w:vAlign w:val="center"/>
          </w:tcPr>
          <w:p>
            <w:pPr>
              <w:spacing w:line="440" w:lineRule="exact"/>
              <w:jc w:val="center"/>
              <w:rPr>
                <w:rFonts w:ascii="宋体" w:hAnsi="宋体"/>
                <w:szCs w:val="21"/>
              </w:rPr>
            </w:pPr>
            <w:r>
              <w:rPr>
                <w:rFonts w:hint="eastAsia" w:ascii="宋体" w:hAnsi="宋体"/>
                <w:szCs w:val="21"/>
              </w:rPr>
              <w:t>制造</w:t>
            </w:r>
          </w:p>
          <w:p>
            <w:pPr>
              <w:spacing w:line="440" w:lineRule="exact"/>
              <w:jc w:val="center"/>
              <w:rPr>
                <w:rFonts w:ascii="宋体" w:hAnsi="宋体"/>
                <w:szCs w:val="21"/>
              </w:rPr>
            </w:pPr>
            <w:r>
              <w:rPr>
                <w:rFonts w:hint="eastAsia" w:ascii="宋体" w:hAnsi="宋体"/>
                <w:szCs w:val="21"/>
              </w:rPr>
              <w:t>年份</w:t>
            </w:r>
          </w:p>
        </w:tc>
        <w:tc>
          <w:tcPr>
            <w:tcW w:w="903" w:type="dxa"/>
            <w:vAlign w:val="center"/>
          </w:tcPr>
          <w:p>
            <w:pPr>
              <w:spacing w:line="440" w:lineRule="exact"/>
              <w:jc w:val="center"/>
              <w:rPr>
                <w:rFonts w:ascii="宋体" w:hAnsi="宋体"/>
                <w:szCs w:val="21"/>
              </w:rPr>
            </w:pPr>
            <w:r>
              <w:rPr>
                <w:rFonts w:hint="eastAsia" w:ascii="宋体" w:hAnsi="宋体"/>
                <w:szCs w:val="21"/>
              </w:rPr>
              <w:t>额定功率（KW）</w:t>
            </w:r>
          </w:p>
        </w:tc>
        <w:tc>
          <w:tcPr>
            <w:tcW w:w="1043" w:type="dxa"/>
            <w:vAlign w:val="center"/>
          </w:tcPr>
          <w:p>
            <w:pPr>
              <w:spacing w:line="440" w:lineRule="exact"/>
              <w:jc w:val="center"/>
              <w:rPr>
                <w:rFonts w:ascii="宋体" w:hAnsi="宋体"/>
                <w:szCs w:val="21"/>
              </w:rPr>
            </w:pPr>
            <w:r>
              <w:rPr>
                <w:rFonts w:hint="eastAsia" w:ascii="宋体" w:hAnsi="宋体"/>
                <w:szCs w:val="21"/>
              </w:rPr>
              <w:t>生产</w:t>
            </w:r>
          </w:p>
          <w:p>
            <w:pPr>
              <w:spacing w:line="440" w:lineRule="exact"/>
              <w:jc w:val="center"/>
              <w:rPr>
                <w:rFonts w:ascii="宋体" w:hAnsi="宋体"/>
                <w:szCs w:val="21"/>
              </w:rPr>
            </w:pPr>
            <w:r>
              <w:rPr>
                <w:rFonts w:hint="eastAsia" w:ascii="宋体" w:hAnsi="宋体"/>
                <w:szCs w:val="21"/>
              </w:rPr>
              <w:t>能力</w:t>
            </w:r>
          </w:p>
        </w:tc>
        <w:tc>
          <w:tcPr>
            <w:tcW w:w="940" w:type="dxa"/>
            <w:vAlign w:val="center"/>
          </w:tcPr>
          <w:p>
            <w:pPr>
              <w:spacing w:line="440" w:lineRule="exact"/>
              <w:jc w:val="center"/>
              <w:rPr>
                <w:rFonts w:ascii="宋体" w:hAnsi="宋体"/>
                <w:szCs w:val="21"/>
              </w:rPr>
            </w:pPr>
            <w:r>
              <w:rPr>
                <w:rFonts w:hint="eastAsia" w:ascii="宋体" w:hAnsi="宋体"/>
                <w:szCs w:val="21"/>
              </w:rPr>
              <w:t>用于施工部位</w:t>
            </w:r>
          </w:p>
        </w:tc>
        <w:tc>
          <w:tcPr>
            <w:tcW w:w="656" w:type="dxa"/>
            <w:vAlign w:val="center"/>
          </w:tcPr>
          <w:p>
            <w:pPr>
              <w:spacing w:line="4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pPr>
              <w:spacing w:line="440" w:lineRule="exact"/>
              <w:jc w:val="center"/>
              <w:rPr>
                <w:rFonts w:ascii="宋体" w:hAnsi="宋体"/>
                <w:szCs w:val="21"/>
              </w:rPr>
            </w:pPr>
          </w:p>
        </w:tc>
        <w:tc>
          <w:tcPr>
            <w:tcW w:w="1183" w:type="dxa"/>
            <w:vAlign w:val="center"/>
          </w:tcPr>
          <w:p>
            <w:pPr>
              <w:spacing w:line="440" w:lineRule="exact"/>
              <w:jc w:val="center"/>
              <w:rPr>
                <w:rFonts w:ascii="宋体" w:hAnsi="宋体"/>
                <w:szCs w:val="21"/>
              </w:rPr>
            </w:pPr>
          </w:p>
        </w:tc>
        <w:tc>
          <w:tcPr>
            <w:tcW w:w="908" w:type="dxa"/>
            <w:vAlign w:val="center"/>
          </w:tcPr>
          <w:p>
            <w:pPr>
              <w:spacing w:line="440" w:lineRule="exact"/>
              <w:jc w:val="center"/>
              <w:rPr>
                <w:rFonts w:ascii="宋体" w:hAnsi="宋体"/>
                <w:szCs w:val="21"/>
              </w:rPr>
            </w:pPr>
          </w:p>
        </w:tc>
        <w:tc>
          <w:tcPr>
            <w:tcW w:w="880" w:type="dxa"/>
            <w:vAlign w:val="center"/>
          </w:tcPr>
          <w:p>
            <w:pPr>
              <w:spacing w:line="440" w:lineRule="exact"/>
              <w:jc w:val="center"/>
              <w:rPr>
                <w:rFonts w:ascii="宋体" w:hAnsi="宋体"/>
                <w:szCs w:val="21"/>
              </w:rPr>
            </w:pPr>
          </w:p>
        </w:tc>
        <w:tc>
          <w:tcPr>
            <w:tcW w:w="802" w:type="dxa"/>
            <w:vAlign w:val="center"/>
          </w:tcPr>
          <w:p>
            <w:pPr>
              <w:spacing w:line="440" w:lineRule="exact"/>
              <w:jc w:val="center"/>
              <w:rPr>
                <w:rFonts w:ascii="宋体" w:hAnsi="宋体"/>
                <w:szCs w:val="21"/>
              </w:rPr>
            </w:pPr>
          </w:p>
        </w:tc>
        <w:tc>
          <w:tcPr>
            <w:tcW w:w="879" w:type="dxa"/>
            <w:vAlign w:val="center"/>
          </w:tcPr>
          <w:p>
            <w:pPr>
              <w:spacing w:line="440" w:lineRule="exact"/>
              <w:jc w:val="center"/>
              <w:rPr>
                <w:rFonts w:ascii="宋体" w:hAnsi="宋体"/>
                <w:szCs w:val="21"/>
              </w:rPr>
            </w:pPr>
          </w:p>
        </w:tc>
        <w:tc>
          <w:tcPr>
            <w:tcW w:w="903" w:type="dxa"/>
            <w:vAlign w:val="center"/>
          </w:tcPr>
          <w:p>
            <w:pPr>
              <w:spacing w:line="440" w:lineRule="exact"/>
              <w:jc w:val="center"/>
              <w:rPr>
                <w:rFonts w:ascii="宋体" w:hAnsi="宋体"/>
                <w:szCs w:val="21"/>
              </w:rPr>
            </w:pPr>
          </w:p>
        </w:tc>
        <w:tc>
          <w:tcPr>
            <w:tcW w:w="1043" w:type="dxa"/>
            <w:vAlign w:val="center"/>
          </w:tcPr>
          <w:p>
            <w:pPr>
              <w:spacing w:line="440" w:lineRule="exact"/>
              <w:jc w:val="center"/>
              <w:rPr>
                <w:rFonts w:ascii="宋体" w:hAnsi="宋体"/>
                <w:szCs w:val="21"/>
              </w:rPr>
            </w:pPr>
          </w:p>
        </w:tc>
        <w:tc>
          <w:tcPr>
            <w:tcW w:w="940" w:type="dxa"/>
            <w:vAlign w:val="center"/>
          </w:tcPr>
          <w:p>
            <w:pPr>
              <w:spacing w:line="440" w:lineRule="exact"/>
              <w:jc w:val="center"/>
              <w:rPr>
                <w:rFonts w:ascii="宋体" w:hAnsi="宋体"/>
                <w:szCs w:val="21"/>
              </w:rPr>
            </w:pPr>
          </w:p>
        </w:tc>
        <w:tc>
          <w:tcPr>
            <w:tcW w:w="656"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pPr>
              <w:spacing w:line="440" w:lineRule="exact"/>
              <w:jc w:val="center"/>
              <w:rPr>
                <w:rFonts w:ascii="宋体" w:hAnsi="宋体"/>
                <w:szCs w:val="21"/>
              </w:rPr>
            </w:pPr>
          </w:p>
        </w:tc>
        <w:tc>
          <w:tcPr>
            <w:tcW w:w="1183" w:type="dxa"/>
            <w:vAlign w:val="center"/>
          </w:tcPr>
          <w:p>
            <w:pPr>
              <w:spacing w:line="440" w:lineRule="exact"/>
              <w:jc w:val="center"/>
              <w:rPr>
                <w:rFonts w:ascii="宋体" w:hAnsi="宋体"/>
                <w:szCs w:val="21"/>
              </w:rPr>
            </w:pPr>
          </w:p>
        </w:tc>
        <w:tc>
          <w:tcPr>
            <w:tcW w:w="908" w:type="dxa"/>
            <w:vAlign w:val="center"/>
          </w:tcPr>
          <w:p>
            <w:pPr>
              <w:spacing w:line="440" w:lineRule="exact"/>
              <w:jc w:val="center"/>
              <w:rPr>
                <w:rFonts w:ascii="宋体" w:hAnsi="宋体"/>
                <w:szCs w:val="21"/>
              </w:rPr>
            </w:pPr>
          </w:p>
        </w:tc>
        <w:tc>
          <w:tcPr>
            <w:tcW w:w="880" w:type="dxa"/>
            <w:vAlign w:val="center"/>
          </w:tcPr>
          <w:p>
            <w:pPr>
              <w:spacing w:line="440" w:lineRule="exact"/>
              <w:jc w:val="center"/>
              <w:rPr>
                <w:rFonts w:ascii="宋体" w:hAnsi="宋体"/>
                <w:szCs w:val="21"/>
              </w:rPr>
            </w:pPr>
          </w:p>
        </w:tc>
        <w:tc>
          <w:tcPr>
            <w:tcW w:w="802" w:type="dxa"/>
            <w:vAlign w:val="center"/>
          </w:tcPr>
          <w:p>
            <w:pPr>
              <w:spacing w:line="440" w:lineRule="exact"/>
              <w:jc w:val="center"/>
              <w:rPr>
                <w:rFonts w:ascii="宋体" w:hAnsi="宋体"/>
                <w:szCs w:val="21"/>
              </w:rPr>
            </w:pPr>
          </w:p>
        </w:tc>
        <w:tc>
          <w:tcPr>
            <w:tcW w:w="879" w:type="dxa"/>
            <w:vAlign w:val="center"/>
          </w:tcPr>
          <w:p>
            <w:pPr>
              <w:spacing w:line="440" w:lineRule="exact"/>
              <w:jc w:val="center"/>
              <w:rPr>
                <w:rFonts w:ascii="宋体" w:hAnsi="宋体"/>
                <w:szCs w:val="21"/>
              </w:rPr>
            </w:pPr>
          </w:p>
        </w:tc>
        <w:tc>
          <w:tcPr>
            <w:tcW w:w="903" w:type="dxa"/>
            <w:vAlign w:val="center"/>
          </w:tcPr>
          <w:p>
            <w:pPr>
              <w:spacing w:line="440" w:lineRule="exact"/>
              <w:jc w:val="center"/>
              <w:rPr>
                <w:rFonts w:ascii="宋体" w:hAnsi="宋体"/>
                <w:szCs w:val="21"/>
              </w:rPr>
            </w:pPr>
          </w:p>
        </w:tc>
        <w:tc>
          <w:tcPr>
            <w:tcW w:w="1043" w:type="dxa"/>
            <w:vAlign w:val="center"/>
          </w:tcPr>
          <w:p>
            <w:pPr>
              <w:spacing w:line="440" w:lineRule="exact"/>
              <w:jc w:val="center"/>
              <w:rPr>
                <w:rFonts w:ascii="宋体" w:hAnsi="宋体"/>
                <w:szCs w:val="21"/>
              </w:rPr>
            </w:pPr>
          </w:p>
        </w:tc>
        <w:tc>
          <w:tcPr>
            <w:tcW w:w="940" w:type="dxa"/>
            <w:vAlign w:val="center"/>
          </w:tcPr>
          <w:p>
            <w:pPr>
              <w:spacing w:line="440" w:lineRule="exact"/>
              <w:jc w:val="center"/>
              <w:rPr>
                <w:rFonts w:ascii="宋体" w:hAnsi="宋体"/>
                <w:szCs w:val="21"/>
              </w:rPr>
            </w:pPr>
          </w:p>
        </w:tc>
        <w:tc>
          <w:tcPr>
            <w:tcW w:w="656"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pPr>
              <w:spacing w:line="440" w:lineRule="exact"/>
              <w:jc w:val="center"/>
              <w:rPr>
                <w:rFonts w:ascii="宋体" w:hAnsi="宋体"/>
                <w:szCs w:val="21"/>
              </w:rPr>
            </w:pPr>
          </w:p>
        </w:tc>
        <w:tc>
          <w:tcPr>
            <w:tcW w:w="1183" w:type="dxa"/>
          </w:tcPr>
          <w:p>
            <w:pPr>
              <w:spacing w:line="440" w:lineRule="exact"/>
              <w:jc w:val="center"/>
              <w:rPr>
                <w:rFonts w:ascii="宋体" w:hAnsi="宋体"/>
                <w:szCs w:val="21"/>
              </w:rPr>
            </w:pPr>
          </w:p>
        </w:tc>
        <w:tc>
          <w:tcPr>
            <w:tcW w:w="908" w:type="dxa"/>
          </w:tcPr>
          <w:p>
            <w:pPr>
              <w:spacing w:line="440" w:lineRule="exact"/>
              <w:jc w:val="center"/>
              <w:rPr>
                <w:rFonts w:ascii="宋体" w:hAnsi="宋体"/>
                <w:szCs w:val="21"/>
              </w:rPr>
            </w:pPr>
          </w:p>
        </w:tc>
        <w:tc>
          <w:tcPr>
            <w:tcW w:w="880" w:type="dxa"/>
          </w:tcPr>
          <w:p>
            <w:pPr>
              <w:spacing w:line="440" w:lineRule="exact"/>
              <w:jc w:val="center"/>
              <w:rPr>
                <w:rFonts w:ascii="宋体" w:hAnsi="宋体"/>
                <w:szCs w:val="21"/>
              </w:rPr>
            </w:pPr>
          </w:p>
        </w:tc>
        <w:tc>
          <w:tcPr>
            <w:tcW w:w="802" w:type="dxa"/>
          </w:tcPr>
          <w:p>
            <w:pPr>
              <w:spacing w:line="440" w:lineRule="exact"/>
              <w:jc w:val="center"/>
              <w:rPr>
                <w:rFonts w:ascii="宋体" w:hAnsi="宋体"/>
                <w:szCs w:val="21"/>
              </w:rPr>
            </w:pPr>
          </w:p>
        </w:tc>
        <w:tc>
          <w:tcPr>
            <w:tcW w:w="879" w:type="dxa"/>
          </w:tcPr>
          <w:p>
            <w:pPr>
              <w:spacing w:line="440" w:lineRule="exact"/>
              <w:jc w:val="center"/>
              <w:rPr>
                <w:rFonts w:ascii="宋体" w:hAnsi="宋体"/>
                <w:szCs w:val="21"/>
              </w:rPr>
            </w:pPr>
          </w:p>
        </w:tc>
        <w:tc>
          <w:tcPr>
            <w:tcW w:w="903" w:type="dxa"/>
          </w:tcPr>
          <w:p>
            <w:pPr>
              <w:spacing w:line="440" w:lineRule="exact"/>
              <w:jc w:val="center"/>
              <w:rPr>
                <w:rFonts w:ascii="宋体" w:hAnsi="宋体"/>
                <w:szCs w:val="21"/>
              </w:rPr>
            </w:pPr>
          </w:p>
        </w:tc>
        <w:tc>
          <w:tcPr>
            <w:tcW w:w="1043" w:type="dxa"/>
          </w:tcPr>
          <w:p>
            <w:pPr>
              <w:spacing w:line="440" w:lineRule="exact"/>
              <w:jc w:val="center"/>
              <w:rPr>
                <w:rFonts w:ascii="宋体" w:hAnsi="宋体"/>
                <w:szCs w:val="21"/>
              </w:rPr>
            </w:pPr>
          </w:p>
        </w:tc>
        <w:tc>
          <w:tcPr>
            <w:tcW w:w="940" w:type="dxa"/>
          </w:tcPr>
          <w:p>
            <w:pPr>
              <w:spacing w:line="440" w:lineRule="exact"/>
              <w:jc w:val="center"/>
              <w:rPr>
                <w:rFonts w:ascii="宋体" w:hAnsi="宋体"/>
                <w:szCs w:val="21"/>
              </w:rPr>
            </w:pPr>
          </w:p>
        </w:tc>
        <w:tc>
          <w:tcPr>
            <w:tcW w:w="656" w:type="dxa"/>
          </w:tcPr>
          <w:p>
            <w:pPr>
              <w:spacing w:line="440" w:lineRule="exact"/>
              <w:jc w:val="center"/>
              <w:rPr>
                <w:rFonts w:ascii="宋体" w:hAnsi="宋体"/>
                <w:szCs w:val="21"/>
              </w:rPr>
            </w:pPr>
          </w:p>
        </w:tc>
      </w:tr>
    </w:tbl>
    <w:p>
      <w:pPr>
        <w:spacing w:line="440" w:lineRule="exact"/>
        <w:rPr>
          <w:rFonts w:ascii="宋体" w:hAnsi="宋体"/>
          <w:sz w:val="20"/>
          <w:szCs w:val="20"/>
        </w:rPr>
      </w:pPr>
    </w:p>
    <w:p>
      <w:pPr>
        <w:spacing w:line="440" w:lineRule="exact"/>
        <w:rPr>
          <w:rFonts w:ascii="宋体" w:hAnsi="宋体"/>
          <w:sz w:val="20"/>
          <w:szCs w:val="20"/>
        </w:rPr>
      </w:pPr>
      <w:r>
        <w:rPr>
          <w:rFonts w:hint="eastAsia" w:ascii="宋体" w:hAnsi="宋体"/>
          <w:sz w:val="20"/>
          <w:szCs w:val="20"/>
        </w:rPr>
        <w:br w:type="page"/>
      </w:r>
    </w:p>
    <w:p>
      <w:pPr>
        <w:pStyle w:val="126"/>
        <w:rPr>
          <w:rFonts w:ascii="宋体" w:hAnsi="宋体" w:eastAsia="宋体"/>
        </w:rPr>
      </w:pPr>
      <w:bookmarkStart w:id="110" w:name="_Toc152042587"/>
      <w:bookmarkStart w:id="111" w:name="_Toc4957"/>
      <w:bookmarkStart w:id="112" w:name="_Toc179632818"/>
      <w:bookmarkStart w:id="113" w:name="_Toc144974866"/>
      <w:bookmarkStart w:id="114" w:name="_Toc152045798"/>
      <w:bookmarkStart w:id="115" w:name="_Toc246392156"/>
      <w:r>
        <w:rPr>
          <w:rFonts w:hint="eastAsia" w:ascii="宋体" w:hAnsi="宋体" w:eastAsia="宋体"/>
        </w:rPr>
        <w:t>附表二：拟配备本标段的试验和检测仪器设备表</w:t>
      </w:r>
      <w:bookmarkEnd w:id="110"/>
      <w:bookmarkEnd w:id="111"/>
      <w:bookmarkEnd w:id="112"/>
      <w:bookmarkEnd w:id="113"/>
      <w:bookmarkEnd w:id="114"/>
      <w:bookmarkEnd w:id="115"/>
    </w:p>
    <w:p>
      <w:pPr>
        <w:spacing w:line="440" w:lineRule="exact"/>
        <w:rPr>
          <w:rFonts w:ascii="宋体" w:hAnsi="宋体"/>
          <w:sz w:val="20"/>
          <w:szCs w:val="20"/>
        </w:rPr>
      </w:pPr>
    </w:p>
    <w:tbl>
      <w:tblPr>
        <w:tblStyle w:val="52"/>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307"/>
        <w:gridCol w:w="915"/>
        <w:gridCol w:w="739"/>
        <w:gridCol w:w="809"/>
        <w:gridCol w:w="888"/>
        <w:gridCol w:w="1458"/>
        <w:gridCol w:w="1111"/>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spacing w:line="440" w:lineRule="exact"/>
              <w:rPr>
                <w:rFonts w:ascii="宋体" w:hAnsi="宋体"/>
                <w:szCs w:val="21"/>
              </w:rPr>
            </w:pPr>
            <w:r>
              <w:rPr>
                <w:rFonts w:hint="eastAsia" w:ascii="宋体" w:hAnsi="宋体"/>
                <w:szCs w:val="21"/>
              </w:rPr>
              <w:t>序号</w:t>
            </w:r>
          </w:p>
        </w:tc>
        <w:tc>
          <w:tcPr>
            <w:tcW w:w="1307" w:type="dxa"/>
            <w:vAlign w:val="center"/>
          </w:tcPr>
          <w:p>
            <w:pPr>
              <w:spacing w:line="440" w:lineRule="exact"/>
              <w:jc w:val="center"/>
              <w:rPr>
                <w:rFonts w:ascii="宋体" w:hAnsi="宋体"/>
                <w:szCs w:val="21"/>
              </w:rPr>
            </w:pPr>
            <w:r>
              <w:rPr>
                <w:rFonts w:hint="eastAsia" w:ascii="宋体" w:hAnsi="宋体"/>
                <w:szCs w:val="21"/>
              </w:rPr>
              <w:t>仪器设备名称</w:t>
            </w:r>
          </w:p>
        </w:tc>
        <w:tc>
          <w:tcPr>
            <w:tcW w:w="915" w:type="dxa"/>
            <w:vAlign w:val="center"/>
          </w:tcPr>
          <w:p>
            <w:pPr>
              <w:spacing w:line="440" w:lineRule="exact"/>
              <w:jc w:val="center"/>
              <w:rPr>
                <w:rFonts w:ascii="宋体" w:hAnsi="宋体"/>
                <w:szCs w:val="21"/>
              </w:rPr>
            </w:pPr>
            <w:r>
              <w:rPr>
                <w:rFonts w:hint="eastAsia" w:ascii="宋体" w:hAnsi="宋体"/>
                <w:szCs w:val="21"/>
              </w:rPr>
              <w:t>型号</w:t>
            </w:r>
          </w:p>
          <w:p>
            <w:pPr>
              <w:spacing w:line="440" w:lineRule="exact"/>
              <w:jc w:val="center"/>
              <w:rPr>
                <w:rFonts w:ascii="宋体" w:hAnsi="宋体"/>
                <w:szCs w:val="21"/>
              </w:rPr>
            </w:pPr>
            <w:r>
              <w:rPr>
                <w:rFonts w:hint="eastAsia" w:ascii="宋体" w:hAnsi="宋体"/>
                <w:szCs w:val="21"/>
              </w:rPr>
              <w:t>规格</w:t>
            </w:r>
          </w:p>
        </w:tc>
        <w:tc>
          <w:tcPr>
            <w:tcW w:w="739" w:type="dxa"/>
            <w:vAlign w:val="center"/>
          </w:tcPr>
          <w:p>
            <w:pPr>
              <w:spacing w:line="440" w:lineRule="exact"/>
              <w:jc w:val="center"/>
              <w:rPr>
                <w:rFonts w:ascii="宋体" w:hAnsi="宋体"/>
                <w:szCs w:val="21"/>
              </w:rPr>
            </w:pPr>
            <w:r>
              <w:rPr>
                <w:rFonts w:hint="eastAsia" w:ascii="宋体" w:hAnsi="宋体"/>
                <w:szCs w:val="21"/>
              </w:rPr>
              <w:t>数量</w:t>
            </w:r>
          </w:p>
        </w:tc>
        <w:tc>
          <w:tcPr>
            <w:tcW w:w="809" w:type="dxa"/>
            <w:vAlign w:val="center"/>
          </w:tcPr>
          <w:p>
            <w:pPr>
              <w:spacing w:line="440" w:lineRule="exact"/>
              <w:jc w:val="center"/>
              <w:rPr>
                <w:rFonts w:ascii="宋体" w:hAnsi="宋体"/>
                <w:szCs w:val="21"/>
              </w:rPr>
            </w:pPr>
            <w:r>
              <w:rPr>
                <w:rFonts w:hint="eastAsia" w:ascii="宋体" w:hAnsi="宋体"/>
                <w:szCs w:val="21"/>
              </w:rPr>
              <w:t>国别</w:t>
            </w:r>
          </w:p>
          <w:p>
            <w:pPr>
              <w:spacing w:line="440" w:lineRule="exact"/>
              <w:jc w:val="center"/>
              <w:rPr>
                <w:rFonts w:ascii="宋体" w:hAnsi="宋体"/>
                <w:szCs w:val="21"/>
              </w:rPr>
            </w:pPr>
            <w:r>
              <w:rPr>
                <w:rFonts w:hint="eastAsia" w:ascii="宋体" w:hAnsi="宋体"/>
                <w:szCs w:val="21"/>
              </w:rPr>
              <w:t>产地</w:t>
            </w:r>
          </w:p>
        </w:tc>
        <w:tc>
          <w:tcPr>
            <w:tcW w:w="888" w:type="dxa"/>
            <w:vAlign w:val="center"/>
          </w:tcPr>
          <w:p>
            <w:pPr>
              <w:spacing w:line="440" w:lineRule="exact"/>
              <w:jc w:val="center"/>
              <w:rPr>
                <w:rFonts w:ascii="宋体" w:hAnsi="宋体"/>
                <w:szCs w:val="21"/>
              </w:rPr>
            </w:pPr>
            <w:r>
              <w:rPr>
                <w:rFonts w:hint="eastAsia" w:ascii="宋体" w:hAnsi="宋体"/>
                <w:szCs w:val="21"/>
              </w:rPr>
              <w:t>制造</w:t>
            </w:r>
          </w:p>
          <w:p>
            <w:pPr>
              <w:spacing w:line="440" w:lineRule="exact"/>
              <w:jc w:val="center"/>
              <w:rPr>
                <w:rFonts w:ascii="宋体" w:hAnsi="宋体"/>
                <w:szCs w:val="21"/>
              </w:rPr>
            </w:pPr>
            <w:r>
              <w:rPr>
                <w:rFonts w:hint="eastAsia" w:ascii="宋体" w:hAnsi="宋体"/>
                <w:szCs w:val="21"/>
              </w:rPr>
              <w:t>年份</w:t>
            </w:r>
          </w:p>
        </w:tc>
        <w:tc>
          <w:tcPr>
            <w:tcW w:w="1458" w:type="dxa"/>
            <w:vAlign w:val="center"/>
          </w:tcPr>
          <w:p>
            <w:pPr>
              <w:spacing w:line="440" w:lineRule="exact"/>
              <w:jc w:val="center"/>
              <w:rPr>
                <w:rFonts w:ascii="宋体" w:hAnsi="宋体"/>
                <w:szCs w:val="21"/>
              </w:rPr>
            </w:pPr>
            <w:r>
              <w:rPr>
                <w:rFonts w:hint="eastAsia" w:ascii="宋体" w:hAnsi="宋体"/>
                <w:szCs w:val="21"/>
              </w:rPr>
              <w:t>已使用台时数</w:t>
            </w:r>
          </w:p>
        </w:tc>
        <w:tc>
          <w:tcPr>
            <w:tcW w:w="1111" w:type="dxa"/>
            <w:vAlign w:val="center"/>
          </w:tcPr>
          <w:p>
            <w:pPr>
              <w:spacing w:line="440" w:lineRule="exact"/>
              <w:jc w:val="center"/>
              <w:rPr>
                <w:rFonts w:ascii="宋体" w:hAnsi="宋体"/>
                <w:szCs w:val="21"/>
              </w:rPr>
            </w:pPr>
            <w:r>
              <w:rPr>
                <w:rFonts w:hint="eastAsia" w:ascii="宋体" w:hAnsi="宋体"/>
                <w:szCs w:val="21"/>
              </w:rPr>
              <w:t>用途</w:t>
            </w:r>
          </w:p>
        </w:tc>
        <w:tc>
          <w:tcPr>
            <w:tcW w:w="827" w:type="dxa"/>
            <w:vAlign w:val="center"/>
          </w:tcPr>
          <w:p>
            <w:pPr>
              <w:spacing w:line="4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spacing w:line="440" w:lineRule="exact"/>
              <w:jc w:val="center"/>
              <w:rPr>
                <w:rFonts w:ascii="宋体" w:hAnsi="宋体"/>
                <w:szCs w:val="21"/>
              </w:rPr>
            </w:pPr>
          </w:p>
        </w:tc>
        <w:tc>
          <w:tcPr>
            <w:tcW w:w="1307" w:type="dxa"/>
            <w:vAlign w:val="center"/>
          </w:tcPr>
          <w:p>
            <w:pPr>
              <w:spacing w:line="440" w:lineRule="exact"/>
              <w:jc w:val="center"/>
              <w:rPr>
                <w:rFonts w:ascii="宋体" w:hAnsi="宋体"/>
                <w:szCs w:val="21"/>
              </w:rPr>
            </w:pPr>
          </w:p>
        </w:tc>
        <w:tc>
          <w:tcPr>
            <w:tcW w:w="915" w:type="dxa"/>
            <w:vAlign w:val="center"/>
          </w:tcPr>
          <w:p>
            <w:pPr>
              <w:spacing w:line="440" w:lineRule="exact"/>
              <w:jc w:val="center"/>
              <w:rPr>
                <w:rFonts w:ascii="宋体" w:hAnsi="宋体"/>
                <w:szCs w:val="21"/>
              </w:rPr>
            </w:pPr>
          </w:p>
        </w:tc>
        <w:tc>
          <w:tcPr>
            <w:tcW w:w="739" w:type="dxa"/>
            <w:vAlign w:val="center"/>
          </w:tcPr>
          <w:p>
            <w:pPr>
              <w:spacing w:line="440" w:lineRule="exact"/>
              <w:jc w:val="center"/>
              <w:rPr>
                <w:rFonts w:ascii="宋体" w:hAnsi="宋体"/>
                <w:szCs w:val="21"/>
              </w:rPr>
            </w:pPr>
          </w:p>
        </w:tc>
        <w:tc>
          <w:tcPr>
            <w:tcW w:w="809" w:type="dxa"/>
            <w:vAlign w:val="center"/>
          </w:tcPr>
          <w:p>
            <w:pPr>
              <w:spacing w:line="440" w:lineRule="exact"/>
              <w:jc w:val="center"/>
              <w:rPr>
                <w:rFonts w:ascii="宋体" w:hAnsi="宋体"/>
                <w:szCs w:val="21"/>
              </w:rPr>
            </w:pPr>
          </w:p>
        </w:tc>
        <w:tc>
          <w:tcPr>
            <w:tcW w:w="888" w:type="dxa"/>
            <w:vAlign w:val="center"/>
          </w:tcPr>
          <w:p>
            <w:pPr>
              <w:spacing w:line="440" w:lineRule="exact"/>
              <w:jc w:val="center"/>
              <w:rPr>
                <w:rFonts w:ascii="宋体" w:hAnsi="宋体"/>
                <w:szCs w:val="21"/>
              </w:rPr>
            </w:pPr>
          </w:p>
        </w:tc>
        <w:tc>
          <w:tcPr>
            <w:tcW w:w="1458" w:type="dxa"/>
            <w:vAlign w:val="center"/>
          </w:tcPr>
          <w:p>
            <w:pPr>
              <w:spacing w:line="440" w:lineRule="exact"/>
              <w:jc w:val="center"/>
              <w:rPr>
                <w:rFonts w:ascii="宋体" w:hAnsi="宋体"/>
                <w:szCs w:val="21"/>
              </w:rPr>
            </w:pPr>
          </w:p>
        </w:tc>
        <w:tc>
          <w:tcPr>
            <w:tcW w:w="1111" w:type="dxa"/>
            <w:vAlign w:val="center"/>
          </w:tcPr>
          <w:p>
            <w:pPr>
              <w:spacing w:line="440" w:lineRule="exact"/>
              <w:jc w:val="center"/>
              <w:rPr>
                <w:rFonts w:ascii="宋体" w:hAnsi="宋体"/>
                <w:szCs w:val="21"/>
              </w:rPr>
            </w:pPr>
          </w:p>
        </w:tc>
        <w:tc>
          <w:tcPr>
            <w:tcW w:w="827"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spacing w:line="440" w:lineRule="exact"/>
              <w:jc w:val="center"/>
              <w:rPr>
                <w:rFonts w:ascii="宋体" w:hAnsi="宋体"/>
                <w:szCs w:val="21"/>
              </w:rPr>
            </w:pPr>
          </w:p>
        </w:tc>
        <w:tc>
          <w:tcPr>
            <w:tcW w:w="1307" w:type="dxa"/>
            <w:vAlign w:val="center"/>
          </w:tcPr>
          <w:p>
            <w:pPr>
              <w:spacing w:line="440" w:lineRule="exact"/>
              <w:jc w:val="center"/>
              <w:rPr>
                <w:rFonts w:ascii="宋体" w:hAnsi="宋体"/>
                <w:szCs w:val="21"/>
              </w:rPr>
            </w:pPr>
          </w:p>
        </w:tc>
        <w:tc>
          <w:tcPr>
            <w:tcW w:w="915" w:type="dxa"/>
            <w:vAlign w:val="center"/>
          </w:tcPr>
          <w:p>
            <w:pPr>
              <w:spacing w:line="440" w:lineRule="exact"/>
              <w:jc w:val="center"/>
              <w:rPr>
                <w:rFonts w:ascii="宋体" w:hAnsi="宋体"/>
                <w:szCs w:val="21"/>
              </w:rPr>
            </w:pPr>
          </w:p>
        </w:tc>
        <w:tc>
          <w:tcPr>
            <w:tcW w:w="739" w:type="dxa"/>
            <w:vAlign w:val="center"/>
          </w:tcPr>
          <w:p>
            <w:pPr>
              <w:spacing w:line="440" w:lineRule="exact"/>
              <w:jc w:val="center"/>
              <w:rPr>
                <w:rFonts w:ascii="宋体" w:hAnsi="宋体"/>
                <w:szCs w:val="21"/>
              </w:rPr>
            </w:pPr>
          </w:p>
        </w:tc>
        <w:tc>
          <w:tcPr>
            <w:tcW w:w="809" w:type="dxa"/>
            <w:vAlign w:val="center"/>
          </w:tcPr>
          <w:p>
            <w:pPr>
              <w:spacing w:line="440" w:lineRule="exact"/>
              <w:jc w:val="center"/>
              <w:rPr>
                <w:rFonts w:ascii="宋体" w:hAnsi="宋体"/>
                <w:szCs w:val="21"/>
              </w:rPr>
            </w:pPr>
          </w:p>
        </w:tc>
        <w:tc>
          <w:tcPr>
            <w:tcW w:w="888" w:type="dxa"/>
            <w:vAlign w:val="center"/>
          </w:tcPr>
          <w:p>
            <w:pPr>
              <w:spacing w:line="440" w:lineRule="exact"/>
              <w:jc w:val="center"/>
              <w:rPr>
                <w:rFonts w:ascii="宋体" w:hAnsi="宋体"/>
                <w:szCs w:val="21"/>
              </w:rPr>
            </w:pPr>
          </w:p>
        </w:tc>
        <w:tc>
          <w:tcPr>
            <w:tcW w:w="1458" w:type="dxa"/>
            <w:vAlign w:val="center"/>
          </w:tcPr>
          <w:p>
            <w:pPr>
              <w:spacing w:line="440" w:lineRule="exact"/>
              <w:jc w:val="center"/>
              <w:rPr>
                <w:rFonts w:ascii="宋体" w:hAnsi="宋体"/>
                <w:szCs w:val="21"/>
              </w:rPr>
            </w:pPr>
          </w:p>
        </w:tc>
        <w:tc>
          <w:tcPr>
            <w:tcW w:w="1111" w:type="dxa"/>
            <w:vAlign w:val="center"/>
          </w:tcPr>
          <w:p>
            <w:pPr>
              <w:spacing w:line="440" w:lineRule="exact"/>
              <w:jc w:val="center"/>
              <w:rPr>
                <w:rFonts w:ascii="宋体" w:hAnsi="宋体"/>
                <w:szCs w:val="21"/>
              </w:rPr>
            </w:pPr>
          </w:p>
        </w:tc>
        <w:tc>
          <w:tcPr>
            <w:tcW w:w="827"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tcPr>
          <w:p>
            <w:pPr>
              <w:spacing w:line="440" w:lineRule="exact"/>
              <w:jc w:val="center"/>
              <w:rPr>
                <w:rFonts w:ascii="宋体" w:hAnsi="宋体"/>
                <w:szCs w:val="21"/>
              </w:rPr>
            </w:pPr>
          </w:p>
        </w:tc>
        <w:tc>
          <w:tcPr>
            <w:tcW w:w="1307" w:type="dxa"/>
          </w:tcPr>
          <w:p>
            <w:pPr>
              <w:spacing w:line="440" w:lineRule="exact"/>
              <w:jc w:val="center"/>
              <w:rPr>
                <w:rFonts w:ascii="宋体" w:hAnsi="宋体"/>
                <w:szCs w:val="21"/>
              </w:rPr>
            </w:pPr>
          </w:p>
        </w:tc>
        <w:tc>
          <w:tcPr>
            <w:tcW w:w="915" w:type="dxa"/>
          </w:tcPr>
          <w:p>
            <w:pPr>
              <w:spacing w:line="440" w:lineRule="exact"/>
              <w:jc w:val="center"/>
              <w:rPr>
                <w:rFonts w:ascii="宋体" w:hAnsi="宋体"/>
                <w:szCs w:val="21"/>
              </w:rPr>
            </w:pPr>
          </w:p>
        </w:tc>
        <w:tc>
          <w:tcPr>
            <w:tcW w:w="739" w:type="dxa"/>
          </w:tcPr>
          <w:p>
            <w:pPr>
              <w:spacing w:line="440" w:lineRule="exact"/>
              <w:jc w:val="center"/>
              <w:rPr>
                <w:rFonts w:ascii="宋体" w:hAnsi="宋体"/>
                <w:szCs w:val="21"/>
              </w:rPr>
            </w:pPr>
          </w:p>
        </w:tc>
        <w:tc>
          <w:tcPr>
            <w:tcW w:w="809" w:type="dxa"/>
          </w:tcPr>
          <w:p>
            <w:pPr>
              <w:spacing w:line="440" w:lineRule="exact"/>
              <w:jc w:val="center"/>
              <w:rPr>
                <w:rFonts w:ascii="宋体" w:hAnsi="宋体"/>
                <w:szCs w:val="21"/>
              </w:rPr>
            </w:pPr>
          </w:p>
        </w:tc>
        <w:tc>
          <w:tcPr>
            <w:tcW w:w="888" w:type="dxa"/>
          </w:tcPr>
          <w:p>
            <w:pPr>
              <w:spacing w:line="440" w:lineRule="exact"/>
              <w:jc w:val="center"/>
              <w:rPr>
                <w:rFonts w:ascii="宋体" w:hAnsi="宋体"/>
                <w:szCs w:val="21"/>
              </w:rPr>
            </w:pPr>
          </w:p>
        </w:tc>
        <w:tc>
          <w:tcPr>
            <w:tcW w:w="1458" w:type="dxa"/>
          </w:tcPr>
          <w:p>
            <w:pPr>
              <w:spacing w:line="440" w:lineRule="exact"/>
              <w:jc w:val="center"/>
              <w:rPr>
                <w:rFonts w:ascii="宋体" w:hAnsi="宋体"/>
                <w:szCs w:val="21"/>
              </w:rPr>
            </w:pPr>
          </w:p>
        </w:tc>
        <w:tc>
          <w:tcPr>
            <w:tcW w:w="1111" w:type="dxa"/>
          </w:tcPr>
          <w:p>
            <w:pPr>
              <w:spacing w:line="440" w:lineRule="exact"/>
              <w:jc w:val="center"/>
              <w:rPr>
                <w:rFonts w:ascii="宋体" w:hAnsi="宋体"/>
                <w:szCs w:val="21"/>
              </w:rPr>
            </w:pPr>
          </w:p>
        </w:tc>
        <w:tc>
          <w:tcPr>
            <w:tcW w:w="827" w:type="dxa"/>
          </w:tcPr>
          <w:p>
            <w:pPr>
              <w:spacing w:line="440" w:lineRule="exact"/>
              <w:jc w:val="center"/>
              <w:rPr>
                <w:rFonts w:ascii="宋体" w:hAnsi="宋体"/>
                <w:szCs w:val="21"/>
              </w:rPr>
            </w:pPr>
          </w:p>
        </w:tc>
      </w:tr>
    </w:tbl>
    <w:p>
      <w:pPr>
        <w:spacing w:line="440" w:lineRule="exact"/>
        <w:rPr>
          <w:rFonts w:ascii="宋体" w:hAnsi="宋体"/>
          <w:sz w:val="20"/>
          <w:szCs w:val="20"/>
        </w:rPr>
      </w:pPr>
      <w:r>
        <w:rPr>
          <w:rFonts w:hint="eastAsia" w:ascii="宋体" w:hAnsi="宋体"/>
          <w:sz w:val="20"/>
          <w:szCs w:val="20"/>
        </w:rPr>
        <w:br w:type="page"/>
      </w:r>
    </w:p>
    <w:p>
      <w:pPr>
        <w:pStyle w:val="126"/>
        <w:rPr>
          <w:rFonts w:ascii="宋体" w:hAnsi="宋体" w:eastAsia="宋体"/>
        </w:rPr>
      </w:pPr>
      <w:bookmarkStart w:id="116" w:name="_Toc179632819"/>
      <w:bookmarkStart w:id="117" w:name="_Toc152042588"/>
      <w:bookmarkStart w:id="118" w:name="_Toc8928"/>
      <w:bookmarkStart w:id="119" w:name="_Toc152045799"/>
      <w:bookmarkStart w:id="120" w:name="_Toc144974867"/>
      <w:bookmarkStart w:id="121" w:name="_Toc246392157"/>
      <w:r>
        <w:rPr>
          <w:rFonts w:hint="eastAsia" w:ascii="宋体" w:hAnsi="宋体" w:eastAsia="宋体"/>
        </w:rPr>
        <w:t>附表三：劳动力计划表</w:t>
      </w:r>
      <w:bookmarkEnd w:id="116"/>
      <w:bookmarkEnd w:id="117"/>
      <w:bookmarkEnd w:id="118"/>
      <w:bookmarkEnd w:id="119"/>
      <w:bookmarkEnd w:id="120"/>
      <w:bookmarkEnd w:id="121"/>
    </w:p>
    <w:p>
      <w:pPr>
        <w:spacing w:line="440" w:lineRule="exact"/>
        <w:ind w:right="200"/>
        <w:jc w:val="right"/>
        <w:rPr>
          <w:rFonts w:ascii="宋体" w:hAnsi="宋体"/>
          <w:szCs w:val="21"/>
        </w:rPr>
      </w:pPr>
      <w:r>
        <w:rPr>
          <w:rFonts w:hint="eastAsia" w:ascii="宋体" w:hAnsi="宋体"/>
          <w:szCs w:val="21"/>
        </w:rPr>
        <w:t>单位：人</w:t>
      </w:r>
    </w:p>
    <w:tbl>
      <w:tblPr>
        <w:tblStyle w:val="52"/>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1250"/>
        <w:gridCol w:w="995"/>
        <w:gridCol w:w="1034"/>
        <w:gridCol w:w="1092"/>
        <w:gridCol w:w="1140"/>
        <w:gridCol w:w="1188"/>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spacing w:line="440" w:lineRule="exact"/>
              <w:jc w:val="center"/>
              <w:rPr>
                <w:rFonts w:ascii="宋体" w:hAnsi="宋体"/>
                <w:szCs w:val="21"/>
              </w:rPr>
            </w:pPr>
            <w:r>
              <w:rPr>
                <w:rFonts w:hint="eastAsia" w:ascii="宋体" w:hAnsi="宋体"/>
                <w:szCs w:val="21"/>
              </w:rPr>
              <w:t>工种</w:t>
            </w:r>
          </w:p>
        </w:tc>
        <w:tc>
          <w:tcPr>
            <w:tcW w:w="7803" w:type="dxa"/>
            <w:gridSpan w:val="7"/>
            <w:vAlign w:val="center"/>
          </w:tcPr>
          <w:p>
            <w:pPr>
              <w:spacing w:line="440" w:lineRule="exact"/>
              <w:jc w:val="center"/>
              <w:rPr>
                <w:rFonts w:ascii="宋体" w:hAnsi="宋体"/>
                <w:szCs w:val="21"/>
              </w:rPr>
            </w:pPr>
            <w:r>
              <w:rPr>
                <w:rFonts w:hint="eastAsia" w:ascii="宋体" w:hAnsi="宋体"/>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spacing w:line="440" w:lineRule="exact"/>
              <w:jc w:val="center"/>
              <w:rPr>
                <w:rFonts w:ascii="宋体" w:hAnsi="宋体"/>
                <w:szCs w:val="21"/>
              </w:rPr>
            </w:pPr>
          </w:p>
        </w:tc>
        <w:tc>
          <w:tcPr>
            <w:tcW w:w="1250" w:type="dxa"/>
            <w:vAlign w:val="center"/>
          </w:tcPr>
          <w:p>
            <w:pPr>
              <w:spacing w:line="440" w:lineRule="exact"/>
              <w:jc w:val="center"/>
              <w:rPr>
                <w:rFonts w:ascii="宋体" w:hAnsi="宋体"/>
                <w:szCs w:val="21"/>
              </w:rPr>
            </w:pPr>
          </w:p>
        </w:tc>
        <w:tc>
          <w:tcPr>
            <w:tcW w:w="995" w:type="dxa"/>
            <w:vAlign w:val="center"/>
          </w:tcPr>
          <w:p>
            <w:pPr>
              <w:spacing w:line="440" w:lineRule="exact"/>
              <w:jc w:val="center"/>
              <w:rPr>
                <w:rFonts w:ascii="宋体" w:hAnsi="宋体"/>
                <w:szCs w:val="21"/>
              </w:rPr>
            </w:pPr>
          </w:p>
        </w:tc>
        <w:tc>
          <w:tcPr>
            <w:tcW w:w="1034" w:type="dxa"/>
            <w:vAlign w:val="center"/>
          </w:tcPr>
          <w:p>
            <w:pPr>
              <w:spacing w:line="440" w:lineRule="exact"/>
              <w:jc w:val="center"/>
              <w:rPr>
                <w:rFonts w:ascii="宋体" w:hAnsi="宋体"/>
                <w:szCs w:val="21"/>
              </w:rPr>
            </w:pPr>
          </w:p>
        </w:tc>
        <w:tc>
          <w:tcPr>
            <w:tcW w:w="1092" w:type="dxa"/>
            <w:vAlign w:val="center"/>
          </w:tcPr>
          <w:p>
            <w:pPr>
              <w:spacing w:line="440" w:lineRule="exact"/>
              <w:jc w:val="center"/>
              <w:rPr>
                <w:rFonts w:ascii="宋体" w:hAnsi="宋体"/>
                <w:szCs w:val="21"/>
              </w:rPr>
            </w:pPr>
          </w:p>
        </w:tc>
        <w:tc>
          <w:tcPr>
            <w:tcW w:w="1140" w:type="dxa"/>
            <w:vAlign w:val="center"/>
          </w:tcPr>
          <w:p>
            <w:pPr>
              <w:spacing w:line="440" w:lineRule="exact"/>
              <w:jc w:val="center"/>
              <w:rPr>
                <w:rFonts w:ascii="宋体" w:hAnsi="宋体"/>
                <w:szCs w:val="21"/>
              </w:rPr>
            </w:pPr>
          </w:p>
        </w:tc>
        <w:tc>
          <w:tcPr>
            <w:tcW w:w="1188" w:type="dxa"/>
            <w:vAlign w:val="center"/>
          </w:tcPr>
          <w:p>
            <w:pPr>
              <w:spacing w:line="440" w:lineRule="exact"/>
              <w:jc w:val="center"/>
              <w:rPr>
                <w:rFonts w:ascii="宋体" w:hAnsi="宋体"/>
                <w:szCs w:val="21"/>
              </w:rPr>
            </w:pPr>
          </w:p>
        </w:tc>
        <w:tc>
          <w:tcPr>
            <w:tcW w:w="1104"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spacing w:line="440" w:lineRule="exact"/>
              <w:jc w:val="center"/>
              <w:rPr>
                <w:rFonts w:ascii="宋体" w:hAnsi="宋体"/>
                <w:szCs w:val="21"/>
              </w:rPr>
            </w:pPr>
          </w:p>
        </w:tc>
        <w:tc>
          <w:tcPr>
            <w:tcW w:w="1250" w:type="dxa"/>
            <w:vAlign w:val="center"/>
          </w:tcPr>
          <w:p>
            <w:pPr>
              <w:spacing w:line="440" w:lineRule="exact"/>
              <w:jc w:val="center"/>
              <w:rPr>
                <w:rFonts w:ascii="宋体" w:hAnsi="宋体"/>
                <w:szCs w:val="21"/>
              </w:rPr>
            </w:pPr>
          </w:p>
        </w:tc>
        <w:tc>
          <w:tcPr>
            <w:tcW w:w="995" w:type="dxa"/>
            <w:vAlign w:val="center"/>
          </w:tcPr>
          <w:p>
            <w:pPr>
              <w:spacing w:line="440" w:lineRule="exact"/>
              <w:jc w:val="center"/>
              <w:rPr>
                <w:rFonts w:ascii="宋体" w:hAnsi="宋体"/>
                <w:szCs w:val="21"/>
              </w:rPr>
            </w:pPr>
          </w:p>
        </w:tc>
        <w:tc>
          <w:tcPr>
            <w:tcW w:w="1034" w:type="dxa"/>
            <w:vAlign w:val="center"/>
          </w:tcPr>
          <w:p>
            <w:pPr>
              <w:spacing w:line="440" w:lineRule="exact"/>
              <w:jc w:val="center"/>
              <w:rPr>
                <w:rFonts w:ascii="宋体" w:hAnsi="宋体"/>
                <w:szCs w:val="21"/>
              </w:rPr>
            </w:pPr>
          </w:p>
        </w:tc>
        <w:tc>
          <w:tcPr>
            <w:tcW w:w="1092" w:type="dxa"/>
            <w:vAlign w:val="center"/>
          </w:tcPr>
          <w:p>
            <w:pPr>
              <w:spacing w:line="440" w:lineRule="exact"/>
              <w:jc w:val="center"/>
              <w:rPr>
                <w:rFonts w:ascii="宋体" w:hAnsi="宋体"/>
                <w:szCs w:val="21"/>
              </w:rPr>
            </w:pPr>
          </w:p>
        </w:tc>
        <w:tc>
          <w:tcPr>
            <w:tcW w:w="1140" w:type="dxa"/>
            <w:vAlign w:val="center"/>
          </w:tcPr>
          <w:p>
            <w:pPr>
              <w:spacing w:line="440" w:lineRule="exact"/>
              <w:jc w:val="center"/>
              <w:rPr>
                <w:rFonts w:ascii="宋体" w:hAnsi="宋体"/>
                <w:szCs w:val="21"/>
              </w:rPr>
            </w:pPr>
          </w:p>
        </w:tc>
        <w:tc>
          <w:tcPr>
            <w:tcW w:w="1188" w:type="dxa"/>
            <w:vAlign w:val="center"/>
          </w:tcPr>
          <w:p>
            <w:pPr>
              <w:spacing w:line="440" w:lineRule="exact"/>
              <w:jc w:val="center"/>
              <w:rPr>
                <w:rFonts w:ascii="宋体" w:hAnsi="宋体"/>
                <w:szCs w:val="21"/>
              </w:rPr>
            </w:pPr>
          </w:p>
        </w:tc>
        <w:tc>
          <w:tcPr>
            <w:tcW w:w="1104"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tcPr>
          <w:p>
            <w:pPr>
              <w:spacing w:line="440" w:lineRule="exact"/>
              <w:jc w:val="center"/>
              <w:rPr>
                <w:rFonts w:ascii="宋体" w:hAnsi="宋体"/>
                <w:szCs w:val="21"/>
              </w:rPr>
            </w:pPr>
          </w:p>
        </w:tc>
        <w:tc>
          <w:tcPr>
            <w:tcW w:w="1250" w:type="dxa"/>
          </w:tcPr>
          <w:p>
            <w:pPr>
              <w:spacing w:line="440" w:lineRule="exact"/>
              <w:jc w:val="center"/>
              <w:rPr>
                <w:rFonts w:ascii="宋体" w:hAnsi="宋体"/>
                <w:szCs w:val="21"/>
              </w:rPr>
            </w:pPr>
          </w:p>
        </w:tc>
        <w:tc>
          <w:tcPr>
            <w:tcW w:w="995" w:type="dxa"/>
          </w:tcPr>
          <w:p>
            <w:pPr>
              <w:spacing w:line="440" w:lineRule="exact"/>
              <w:jc w:val="center"/>
              <w:rPr>
                <w:rFonts w:ascii="宋体" w:hAnsi="宋体"/>
                <w:szCs w:val="21"/>
              </w:rPr>
            </w:pPr>
          </w:p>
        </w:tc>
        <w:tc>
          <w:tcPr>
            <w:tcW w:w="1034" w:type="dxa"/>
          </w:tcPr>
          <w:p>
            <w:pPr>
              <w:spacing w:line="440" w:lineRule="exact"/>
              <w:jc w:val="center"/>
              <w:rPr>
                <w:rFonts w:ascii="宋体" w:hAnsi="宋体"/>
                <w:szCs w:val="21"/>
              </w:rPr>
            </w:pPr>
          </w:p>
        </w:tc>
        <w:tc>
          <w:tcPr>
            <w:tcW w:w="1092" w:type="dxa"/>
          </w:tcPr>
          <w:p>
            <w:pPr>
              <w:spacing w:line="440" w:lineRule="exact"/>
              <w:jc w:val="center"/>
              <w:rPr>
                <w:rFonts w:ascii="宋体" w:hAnsi="宋体"/>
                <w:szCs w:val="21"/>
              </w:rPr>
            </w:pPr>
          </w:p>
        </w:tc>
        <w:tc>
          <w:tcPr>
            <w:tcW w:w="1140" w:type="dxa"/>
          </w:tcPr>
          <w:p>
            <w:pPr>
              <w:spacing w:line="440" w:lineRule="exact"/>
              <w:jc w:val="center"/>
              <w:rPr>
                <w:rFonts w:ascii="宋体" w:hAnsi="宋体"/>
                <w:szCs w:val="21"/>
              </w:rPr>
            </w:pPr>
          </w:p>
        </w:tc>
        <w:tc>
          <w:tcPr>
            <w:tcW w:w="1188" w:type="dxa"/>
          </w:tcPr>
          <w:p>
            <w:pPr>
              <w:spacing w:line="440" w:lineRule="exact"/>
              <w:jc w:val="center"/>
              <w:rPr>
                <w:rFonts w:ascii="宋体" w:hAnsi="宋体"/>
                <w:szCs w:val="21"/>
              </w:rPr>
            </w:pPr>
          </w:p>
        </w:tc>
        <w:tc>
          <w:tcPr>
            <w:tcW w:w="1104" w:type="dxa"/>
          </w:tcPr>
          <w:p>
            <w:pPr>
              <w:spacing w:line="440" w:lineRule="exact"/>
              <w:jc w:val="center"/>
              <w:rPr>
                <w:rFonts w:ascii="宋体" w:hAnsi="宋体"/>
                <w:szCs w:val="21"/>
              </w:rPr>
            </w:pPr>
          </w:p>
        </w:tc>
      </w:tr>
    </w:tbl>
    <w:p>
      <w:pPr>
        <w:spacing w:line="440" w:lineRule="exact"/>
        <w:rPr>
          <w:rFonts w:ascii="宋体" w:hAnsi="宋体"/>
          <w:sz w:val="20"/>
          <w:szCs w:val="20"/>
        </w:rPr>
      </w:pPr>
    </w:p>
    <w:p>
      <w:pPr>
        <w:spacing w:line="440" w:lineRule="exact"/>
        <w:rPr>
          <w:rFonts w:ascii="宋体" w:hAnsi="宋体"/>
          <w:sz w:val="20"/>
          <w:szCs w:val="20"/>
        </w:rPr>
      </w:pPr>
    </w:p>
    <w:p>
      <w:pPr>
        <w:topLinePunct/>
        <w:spacing w:line="440" w:lineRule="exact"/>
        <w:jc w:val="center"/>
        <w:rPr>
          <w:rFonts w:ascii="宋体" w:hAnsi="宋体"/>
        </w:rPr>
      </w:pPr>
    </w:p>
    <w:p>
      <w:pPr>
        <w:pStyle w:val="126"/>
        <w:rPr>
          <w:rFonts w:ascii="宋体" w:hAnsi="宋体" w:eastAsia="宋体"/>
          <w:sz w:val="22"/>
          <w:szCs w:val="22"/>
        </w:rPr>
      </w:pPr>
      <w:bookmarkStart w:id="122" w:name="_Toc246392158"/>
      <w:bookmarkStart w:id="123" w:name="_Toc152045800"/>
      <w:bookmarkStart w:id="124" w:name="_Toc144974868"/>
      <w:bookmarkStart w:id="125" w:name="_Toc179632820"/>
      <w:bookmarkStart w:id="126" w:name="_Toc3750"/>
      <w:bookmarkStart w:id="127" w:name="_Toc152042589"/>
      <w:r>
        <w:rPr>
          <w:rFonts w:hint="eastAsia" w:ascii="宋体" w:hAnsi="宋体" w:eastAsia="宋体"/>
          <w:sz w:val="22"/>
          <w:szCs w:val="22"/>
        </w:rPr>
        <w:t>附表四：计划开、竣工日期和施工进度网络图</w:t>
      </w:r>
      <w:bookmarkEnd w:id="122"/>
      <w:bookmarkEnd w:id="123"/>
      <w:bookmarkEnd w:id="124"/>
      <w:bookmarkEnd w:id="125"/>
      <w:bookmarkEnd w:id="126"/>
      <w:bookmarkEnd w:id="127"/>
    </w:p>
    <w:p>
      <w:pPr>
        <w:spacing w:line="440" w:lineRule="exact"/>
        <w:rPr>
          <w:rFonts w:ascii="宋体" w:hAnsi="宋体"/>
          <w:sz w:val="22"/>
        </w:rPr>
      </w:pPr>
    </w:p>
    <w:p>
      <w:pPr>
        <w:spacing w:line="440" w:lineRule="exact"/>
        <w:ind w:firstLine="440" w:firstLineChars="200"/>
        <w:rPr>
          <w:rFonts w:ascii="宋体" w:hAnsi="宋体"/>
          <w:sz w:val="22"/>
        </w:rPr>
      </w:pPr>
      <w:r>
        <w:rPr>
          <w:rFonts w:hint="eastAsia" w:ascii="宋体" w:hAnsi="宋体"/>
          <w:sz w:val="22"/>
        </w:rPr>
        <w:t>1. 投标人应递交施工进度网络图或施工进度表，说明按招标文件要求的计划工期进行施工的各个关键日期。</w:t>
      </w:r>
    </w:p>
    <w:p>
      <w:pPr>
        <w:spacing w:line="440" w:lineRule="exact"/>
        <w:ind w:firstLine="440" w:firstLineChars="200"/>
        <w:rPr>
          <w:rFonts w:ascii="宋体" w:hAnsi="宋体"/>
          <w:sz w:val="22"/>
        </w:rPr>
      </w:pPr>
      <w:r>
        <w:rPr>
          <w:rFonts w:hint="eastAsia" w:ascii="宋体" w:hAnsi="宋体"/>
          <w:sz w:val="22"/>
        </w:rPr>
        <w:t>2. 施工进度表可采用网络图（或横道图）表示。</w:t>
      </w:r>
    </w:p>
    <w:p>
      <w:pPr>
        <w:spacing w:line="440" w:lineRule="exact"/>
        <w:rPr>
          <w:rFonts w:ascii="宋体" w:hAnsi="宋体"/>
          <w:sz w:val="22"/>
        </w:rPr>
      </w:pPr>
    </w:p>
    <w:p>
      <w:pPr>
        <w:spacing w:line="440" w:lineRule="exact"/>
        <w:rPr>
          <w:rFonts w:ascii="宋体" w:hAnsi="宋体"/>
          <w:sz w:val="22"/>
        </w:rPr>
      </w:pPr>
    </w:p>
    <w:p>
      <w:pPr>
        <w:spacing w:line="440" w:lineRule="exact"/>
        <w:rPr>
          <w:rFonts w:ascii="宋体" w:hAnsi="宋体"/>
          <w:sz w:val="22"/>
        </w:rPr>
      </w:pPr>
      <w:bookmarkStart w:id="128" w:name="_Toc179632821"/>
      <w:bookmarkStart w:id="129" w:name="_Toc152042590"/>
      <w:bookmarkStart w:id="130" w:name="_Toc246392159"/>
      <w:bookmarkStart w:id="131" w:name="_Toc144974869"/>
      <w:bookmarkStart w:id="132" w:name="_Toc152045801"/>
      <w:r>
        <w:rPr>
          <w:rFonts w:hint="eastAsia" w:ascii="宋体" w:hAnsi="宋体"/>
          <w:sz w:val="22"/>
        </w:rPr>
        <w:t>附表五：施工总平面图</w:t>
      </w:r>
      <w:bookmarkEnd w:id="128"/>
      <w:bookmarkEnd w:id="129"/>
      <w:bookmarkEnd w:id="130"/>
      <w:bookmarkEnd w:id="131"/>
      <w:bookmarkEnd w:id="132"/>
    </w:p>
    <w:p>
      <w:pPr>
        <w:spacing w:line="440" w:lineRule="exact"/>
        <w:rPr>
          <w:rFonts w:ascii="宋体" w:hAnsi="宋体"/>
          <w:sz w:val="22"/>
        </w:rPr>
      </w:pPr>
      <w:r>
        <w:rPr>
          <w:rFonts w:hint="eastAsia" w:ascii="宋体" w:hAnsi="宋体"/>
          <w:sz w:val="22"/>
        </w:rPr>
        <w:tab/>
      </w:r>
    </w:p>
    <w:p>
      <w:pPr>
        <w:spacing w:line="440" w:lineRule="exact"/>
        <w:ind w:firstLine="440" w:firstLineChars="200"/>
        <w:rPr>
          <w:rFonts w:ascii="宋体" w:hAnsi="宋体"/>
          <w:sz w:val="22"/>
        </w:rPr>
      </w:pPr>
      <w:r>
        <w:rPr>
          <w:rFonts w:hint="eastAsia" w:ascii="宋体" w:hAnsi="宋体"/>
          <w:sz w:val="22"/>
        </w:rPr>
        <w:t>投标人应递交一份施工总平面图，绘出现场临时设施布置图表并附文字说明，说明临时设施、加工车间、现场办公、设备及仓储、供电、供水、卫生、生活、道路、消防等设施的情况和布置。</w:t>
      </w:r>
    </w:p>
    <w:p>
      <w:pPr>
        <w:widowControl/>
        <w:jc w:val="left"/>
        <w:rPr>
          <w:rFonts w:ascii="宋体" w:hAnsi="宋体" w:cs="宋体"/>
          <w:b/>
          <w:sz w:val="32"/>
          <w:szCs w:val="32"/>
        </w:rPr>
      </w:pPr>
      <w:r>
        <w:rPr>
          <w:rFonts w:ascii="宋体" w:hAnsi="宋体" w:cs="宋体"/>
          <w:b/>
          <w:sz w:val="32"/>
          <w:szCs w:val="32"/>
        </w:rPr>
        <w:br w:type="page"/>
      </w:r>
    </w:p>
    <w:p>
      <w:pPr>
        <w:spacing w:line="440" w:lineRule="exact"/>
        <w:jc w:val="center"/>
        <w:rPr>
          <w:rFonts w:ascii="Calibri" w:hAnsi="Calibri" w:eastAsia="黑体" w:cs="Calibri"/>
          <w:color w:val="000000"/>
          <w:sz w:val="32"/>
          <w:szCs w:val="32"/>
        </w:rPr>
      </w:pPr>
      <w:r>
        <w:rPr>
          <w:rFonts w:hint="eastAsia" w:ascii="Calibri" w:hAnsi="Calibri" w:eastAsia="黑体" w:cs="Calibri"/>
          <w:color w:val="000000"/>
          <w:sz w:val="32"/>
          <w:szCs w:val="32"/>
        </w:rPr>
        <w:t>六、项目管理机构</w:t>
      </w:r>
    </w:p>
    <w:p>
      <w:pPr>
        <w:pStyle w:val="126"/>
        <w:rPr>
          <w:rFonts w:ascii="宋体" w:hAnsi="宋体" w:eastAsia="宋体"/>
          <w:szCs w:val="23"/>
        </w:rPr>
      </w:pPr>
      <w:bookmarkStart w:id="133" w:name="_Toc152045804"/>
      <w:bookmarkStart w:id="134" w:name="_Toc152042593"/>
      <w:bookmarkStart w:id="135" w:name="_Toc144974872"/>
      <w:bookmarkStart w:id="136" w:name="_Toc246392161"/>
      <w:bookmarkStart w:id="137" w:name="_Toc179632824"/>
      <w:bookmarkStart w:id="138" w:name="_Toc29304"/>
      <w:r>
        <w:rPr>
          <w:rFonts w:hint="eastAsia" w:ascii="宋体" w:hAnsi="宋体" w:eastAsia="宋体"/>
          <w:szCs w:val="23"/>
        </w:rPr>
        <w:t>（一）项目管理机构组成表</w:t>
      </w:r>
      <w:bookmarkEnd w:id="133"/>
      <w:bookmarkEnd w:id="134"/>
      <w:bookmarkEnd w:id="135"/>
      <w:bookmarkEnd w:id="136"/>
      <w:bookmarkEnd w:id="137"/>
      <w:bookmarkEnd w:id="138"/>
    </w:p>
    <w:tbl>
      <w:tblPr>
        <w:tblStyle w:val="52"/>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864"/>
        <w:gridCol w:w="862"/>
        <w:gridCol w:w="1296"/>
        <w:gridCol w:w="863"/>
        <w:gridCol w:w="865"/>
        <w:gridCol w:w="863"/>
        <w:gridCol w:w="1661"/>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vMerge w:val="restart"/>
            <w:vAlign w:val="center"/>
          </w:tcPr>
          <w:p>
            <w:pPr>
              <w:spacing w:line="440" w:lineRule="exact"/>
              <w:jc w:val="center"/>
              <w:rPr>
                <w:rFonts w:ascii="宋体" w:hAnsi="宋体"/>
                <w:szCs w:val="21"/>
              </w:rPr>
            </w:pPr>
            <w:r>
              <w:rPr>
                <w:rFonts w:hint="eastAsia" w:ascii="宋体" w:hAnsi="宋体"/>
                <w:szCs w:val="21"/>
              </w:rPr>
              <w:t>职务</w:t>
            </w:r>
          </w:p>
        </w:tc>
        <w:tc>
          <w:tcPr>
            <w:tcW w:w="864" w:type="dxa"/>
            <w:vMerge w:val="restart"/>
            <w:vAlign w:val="center"/>
          </w:tcPr>
          <w:p>
            <w:pPr>
              <w:spacing w:line="440" w:lineRule="exact"/>
              <w:jc w:val="center"/>
              <w:rPr>
                <w:rFonts w:ascii="宋体" w:hAnsi="宋体"/>
                <w:szCs w:val="21"/>
              </w:rPr>
            </w:pPr>
            <w:r>
              <w:rPr>
                <w:rFonts w:hint="eastAsia" w:ascii="宋体" w:hAnsi="宋体"/>
                <w:szCs w:val="21"/>
              </w:rPr>
              <w:t>姓名</w:t>
            </w:r>
          </w:p>
        </w:tc>
        <w:tc>
          <w:tcPr>
            <w:tcW w:w="862" w:type="dxa"/>
            <w:vMerge w:val="restart"/>
            <w:vAlign w:val="center"/>
          </w:tcPr>
          <w:p>
            <w:pPr>
              <w:spacing w:line="440" w:lineRule="exact"/>
              <w:jc w:val="center"/>
              <w:rPr>
                <w:rFonts w:ascii="宋体" w:hAnsi="宋体"/>
                <w:szCs w:val="21"/>
              </w:rPr>
            </w:pPr>
            <w:r>
              <w:rPr>
                <w:rFonts w:hint="eastAsia" w:ascii="宋体" w:hAnsi="宋体"/>
                <w:szCs w:val="21"/>
              </w:rPr>
              <w:t>职称</w:t>
            </w:r>
          </w:p>
        </w:tc>
        <w:tc>
          <w:tcPr>
            <w:tcW w:w="5548" w:type="dxa"/>
            <w:gridSpan w:val="5"/>
            <w:vAlign w:val="center"/>
          </w:tcPr>
          <w:p>
            <w:pPr>
              <w:spacing w:line="440" w:lineRule="exact"/>
              <w:jc w:val="center"/>
              <w:rPr>
                <w:rFonts w:ascii="宋体" w:hAnsi="宋体"/>
                <w:szCs w:val="21"/>
              </w:rPr>
            </w:pPr>
            <w:r>
              <w:rPr>
                <w:rFonts w:hint="eastAsia" w:ascii="宋体" w:hAnsi="宋体"/>
                <w:szCs w:val="21"/>
              </w:rPr>
              <w:t>执业或职业资格证明</w:t>
            </w:r>
          </w:p>
        </w:tc>
        <w:tc>
          <w:tcPr>
            <w:tcW w:w="806" w:type="dxa"/>
            <w:vAlign w:val="center"/>
          </w:tcPr>
          <w:p>
            <w:pPr>
              <w:spacing w:line="4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vMerge w:val="continue"/>
            <w:vAlign w:val="center"/>
          </w:tcPr>
          <w:p>
            <w:pPr>
              <w:spacing w:line="440" w:lineRule="exact"/>
              <w:jc w:val="center"/>
              <w:rPr>
                <w:rFonts w:ascii="宋体" w:hAnsi="宋体"/>
                <w:szCs w:val="21"/>
              </w:rPr>
            </w:pPr>
          </w:p>
        </w:tc>
        <w:tc>
          <w:tcPr>
            <w:tcW w:w="864" w:type="dxa"/>
            <w:vMerge w:val="continue"/>
            <w:vAlign w:val="center"/>
          </w:tcPr>
          <w:p>
            <w:pPr>
              <w:spacing w:line="440" w:lineRule="exact"/>
              <w:jc w:val="center"/>
              <w:rPr>
                <w:rFonts w:ascii="宋体" w:hAnsi="宋体"/>
                <w:szCs w:val="21"/>
              </w:rPr>
            </w:pPr>
          </w:p>
        </w:tc>
        <w:tc>
          <w:tcPr>
            <w:tcW w:w="862" w:type="dxa"/>
            <w:vMerge w:val="continue"/>
            <w:vAlign w:val="center"/>
          </w:tcPr>
          <w:p>
            <w:pPr>
              <w:spacing w:line="440" w:lineRule="exact"/>
              <w:jc w:val="center"/>
              <w:rPr>
                <w:rFonts w:ascii="宋体" w:hAnsi="宋体"/>
                <w:szCs w:val="21"/>
              </w:rPr>
            </w:pPr>
          </w:p>
        </w:tc>
        <w:tc>
          <w:tcPr>
            <w:tcW w:w="1296" w:type="dxa"/>
            <w:vAlign w:val="center"/>
          </w:tcPr>
          <w:p>
            <w:pPr>
              <w:spacing w:line="440" w:lineRule="exact"/>
              <w:jc w:val="center"/>
              <w:rPr>
                <w:rFonts w:ascii="宋体" w:hAnsi="宋体"/>
                <w:szCs w:val="21"/>
              </w:rPr>
            </w:pPr>
            <w:r>
              <w:rPr>
                <w:rFonts w:hint="eastAsia" w:ascii="宋体" w:hAnsi="宋体"/>
                <w:szCs w:val="21"/>
              </w:rPr>
              <w:t>证书名称</w:t>
            </w:r>
          </w:p>
        </w:tc>
        <w:tc>
          <w:tcPr>
            <w:tcW w:w="863" w:type="dxa"/>
            <w:vAlign w:val="center"/>
          </w:tcPr>
          <w:p>
            <w:pPr>
              <w:spacing w:line="440" w:lineRule="exact"/>
              <w:jc w:val="center"/>
              <w:rPr>
                <w:rFonts w:ascii="宋体" w:hAnsi="宋体"/>
                <w:szCs w:val="21"/>
              </w:rPr>
            </w:pPr>
            <w:r>
              <w:rPr>
                <w:rFonts w:hint="eastAsia" w:ascii="宋体" w:hAnsi="宋体"/>
                <w:szCs w:val="21"/>
              </w:rPr>
              <w:t>级别</w:t>
            </w:r>
          </w:p>
        </w:tc>
        <w:tc>
          <w:tcPr>
            <w:tcW w:w="865" w:type="dxa"/>
            <w:vAlign w:val="center"/>
          </w:tcPr>
          <w:p>
            <w:pPr>
              <w:spacing w:line="440" w:lineRule="exact"/>
              <w:jc w:val="center"/>
              <w:rPr>
                <w:rFonts w:ascii="宋体" w:hAnsi="宋体"/>
                <w:szCs w:val="21"/>
              </w:rPr>
            </w:pPr>
            <w:r>
              <w:rPr>
                <w:rFonts w:hint="eastAsia" w:ascii="宋体" w:hAnsi="宋体"/>
                <w:szCs w:val="21"/>
              </w:rPr>
              <w:t>证号</w:t>
            </w:r>
          </w:p>
        </w:tc>
        <w:tc>
          <w:tcPr>
            <w:tcW w:w="863" w:type="dxa"/>
            <w:vAlign w:val="center"/>
          </w:tcPr>
          <w:p>
            <w:pPr>
              <w:spacing w:line="440" w:lineRule="exact"/>
              <w:jc w:val="center"/>
              <w:rPr>
                <w:rFonts w:ascii="宋体" w:hAnsi="宋体"/>
                <w:szCs w:val="21"/>
              </w:rPr>
            </w:pPr>
            <w:r>
              <w:rPr>
                <w:rFonts w:hint="eastAsia" w:ascii="宋体" w:hAnsi="宋体"/>
                <w:szCs w:val="21"/>
              </w:rPr>
              <w:t>专业</w:t>
            </w:r>
          </w:p>
        </w:tc>
        <w:tc>
          <w:tcPr>
            <w:tcW w:w="1661" w:type="dxa"/>
            <w:vAlign w:val="center"/>
          </w:tcPr>
          <w:p>
            <w:pPr>
              <w:spacing w:line="440" w:lineRule="exact"/>
              <w:jc w:val="center"/>
              <w:rPr>
                <w:rFonts w:ascii="宋体" w:hAnsi="宋体"/>
                <w:szCs w:val="21"/>
              </w:rPr>
            </w:pPr>
            <w:r>
              <w:rPr>
                <w:rFonts w:hint="eastAsia" w:ascii="宋体" w:hAnsi="宋体"/>
                <w:szCs w:val="21"/>
              </w:rPr>
              <w:t>养老保险</w:t>
            </w:r>
          </w:p>
        </w:tc>
        <w:tc>
          <w:tcPr>
            <w:tcW w:w="806"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vAlign w:val="center"/>
          </w:tcPr>
          <w:p>
            <w:pPr>
              <w:spacing w:line="440" w:lineRule="exact"/>
              <w:jc w:val="center"/>
              <w:rPr>
                <w:rFonts w:ascii="宋体" w:hAnsi="宋体"/>
                <w:szCs w:val="21"/>
              </w:rPr>
            </w:pPr>
          </w:p>
        </w:tc>
        <w:tc>
          <w:tcPr>
            <w:tcW w:w="864" w:type="dxa"/>
            <w:vAlign w:val="center"/>
          </w:tcPr>
          <w:p>
            <w:pPr>
              <w:spacing w:line="440" w:lineRule="exact"/>
              <w:jc w:val="center"/>
              <w:rPr>
                <w:rFonts w:ascii="宋体" w:hAnsi="宋体"/>
                <w:szCs w:val="21"/>
              </w:rPr>
            </w:pPr>
          </w:p>
        </w:tc>
        <w:tc>
          <w:tcPr>
            <w:tcW w:w="862" w:type="dxa"/>
            <w:vAlign w:val="center"/>
          </w:tcPr>
          <w:p>
            <w:pPr>
              <w:spacing w:line="440" w:lineRule="exact"/>
              <w:jc w:val="center"/>
              <w:rPr>
                <w:rFonts w:ascii="宋体" w:hAnsi="宋体"/>
                <w:szCs w:val="21"/>
              </w:rPr>
            </w:pPr>
          </w:p>
        </w:tc>
        <w:tc>
          <w:tcPr>
            <w:tcW w:w="1296" w:type="dxa"/>
            <w:vAlign w:val="center"/>
          </w:tcPr>
          <w:p>
            <w:pPr>
              <w:spacing w:line="440" w:lineRule="exact"/>
              <w:jc w:val="center"/>
              <w:rPr>
                <w:rFonts w:ascii="宋体" w:hAnsi="宋体"/>
                <w:szCs w:val="21"/>
              </w:rPr>
            </w:pPr>
          </w:p>
        </w:tc>
        <w:tc>
          <w:tcPr>
            <w:tcW w:w="863" w:type="dxa"/>
            <w:vAlign w:val="center"/>
          </w:tcPr>
          <w:p>
            <w:pPr>
              <w:spacing w:line="440" w:lineRule="exact"/>
              <w:jc w:val="center"/>
              <w:rPr>
                <w:rFonts w:ascii="宋体" w:hAnsi="宋体"/>
                <w:szCs w:val="21"/>
              </w:rPr>
            </w:pPr>
          </w:p>
        </w:tc>
        <w:tc>
          <w:tcPr>
            <w:tcW w:w="865" w:type="dxa"/>
            <w:vAlign w:val="center"/>
          </w:tcPr>
          <w:p>
            <w:pPr>
              <w:spacing w:line="440" w:lineRule="exact"/>
              <w:jc w:val="center"/>
              <w:rPr>
                <w:rFonts w:ascii="宋体" w:hAnsi="宋体"/>
                <w:szCs w:val="21"/>
              </w:rPr>
            </w:pPr>
          </w:p>
        </w:tc>
        <w:tc>
          <w:tcPr>
            <w:tcW w:w="863" w:type="dxa"/>
            <w:vAlign w:val="center"/>
          </w:tcPr>
          <w:p>
            <w:pPr>
              <w:spacing w:line="440" w:lineRule="exact"/>
              <w:jc w:val="center"/>
              <w:rPr>
                <w:rFonts w:ascii="宋体" w:hAnsi="宋体"/>
                <w:szCs w:val="21"/>
              </w:rPr>
            </w:pPr>
          </w:p>
        </w:tc>
        <w:tc>
          <w:tcPr>
            <w:tcW w:w="1661" w:type="dxa"/>
            <w:vAlign w:val="center"/>
          </w:tcPr>
          <w:p>
            <w:pPr>
              <w:spacing w:line="440" w:lineRule="exact"/>
              <w:jc w:val="center"/>
              <w:rPr>
                <w:rFonts w:ascii="宋体" w:hAnsi="宋体"/>
                <w:szCs w:val="21"/>
              </w:rPr>
            </w:pPr>
          </w:p>
        </w:tc>
        <w:tc>
          <w:tcPr>
            <w:tcW w:w="806" w:type="dxa"/>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Pr>
          <w:p>
            <w:pPr>
              <w:spacing w:line="440" w:lineRule="exact"/>
              <w:jc w:val="center"/>
              <w:rPr>
                <w:rFonts w:ascii="宋体" w:hAnsi="宋体"/>
                <w:szCs w:val="21"/>
              </w:rPr>
            </w:pPr>
          </w:p>
        </w:tc>
        <w:tc>
          <w:tcPr>
            <w:tcW w:w="864" w:type="dxa"/>
          </w:tcPr>
          <w:p>
            <w:pPr>
              <w:spacing w:line="440" w:lineRule="exact"/>
              <w:jc w:val="center"/>
              <w:rPr>
                <w:rFonts w:ascii="宋体" w:hAnsi="宋体"/>
                <w:szCs w:val="21"/>
              </w:rPr>
            </w:pPr>
          </w:p>
        </w:tc>
        <w:tc>
          <w:tcPr>
            <w:tcW w:w="862" w:type="dxa"/>
          </w:tcPr>
          <w:p>
            <w:pPr>
              <w:spacing w:line="440" w:lineRule="exact"/>
              <w:jc w:val="center"/>
              <w:rPr>
                <w:rFonts w:ascii="宋体" w:hAnsi="宋体"/>
                <w:szCs w:val="21"/>
              </w:rPr>
            </w:pPr>
          </w:p>
        </w:tc>
        <w:tc>
          <w:tcPr>
            <w:tcW w:w="1296"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865" w:type="dxa"/>
          </w:tcPr>
          <w:p>
            <w:pPr>
              <w:spacing w:line="440" w:lineRule="exact"/>
              <w:jc w:val="center"/>
              <w:rPr>
                <w:rFonts w:ascii="宋体" w:hAnsi="宋体"/>
                <w:szCs w:val="21"/>
              </w:rPr>
            </w:pPr>
          </w:p>
        </w:tc>
        <w:tc>
          <w:tcPr>
            <w:tcW w:w="863" w:type="dxa"/>
          </w:tcPr>
          <w:p>
            <w:pPr>
              <w:spacing w:line="440" w:lineRule="exact"/>
              <w:jc w:val="center"/>
              <w:rPr>
                <w:rFonts w:ascii="宋体" w:hAnsi="宋体"/>
                <w:szCs w:val="21"/>
              </w:rPr>
            </w:pPr>
          </w:p>
        </w:tc>
        <w:tc>
          <w:tcPr>
            <w:tcW w:w="1661" w:type="dxa"/>
          </w:tcPr>
          <w:p>
            <w:pPr>
              <w:spacing w:line="440" w:lineRule="exact"/>
              <w:jc w:val="center"/>
              <w:rPr>
                <w:rFonts w:ascii="宋体" w:hAnsi="宋体"/>
                <w:szCs w:val="21"/>
              </w:rPr>
            </w:pPr>
          </w:p>
        </w:tc>
        <w:tc>
          <w:tcPr>
            <w:tcW w:w="806" w:type="dxa"/>
          </w:tcPr>
          <w:p>
            <w:pPr>
              <w:spacing w:line="440" w:lineRule="exact"/>
              <w:jc w:val="center"/>
              <w:rPr>
                <w:rFonts w:ascii="宋体" w:hAnsi="宋体"/>
                <w:szCs w:val="21"/>
              </w:rPr>
            </w:pPr>
          </w:p>
        </w:tc>
      </w:tr>
    </w:tbl>
    <w:p>
      <w:pPr>
        <w:topLinePunct/>
        <w:spacing w:line="440" w:lineRule="exact"/>
        <w:jc w:val="center"/>
        <w:rPr>
          <w:rFonts w:ascii="宋体" w:hAnsi="宋体"/>
          <w:sz w:val="20"/>
        </w:rPr>
      </w:pPr>
      <w:r>
        <w:rPr>
          <w:rFonts w:hint="eastAsia" w:ascii="宋体" w:hAnsi="宋体"/>
          <w:sz w:val="20"/>
        </w:rPr>
        <w:br w:type="page"/>
      </w:r>
    </w:p>
    <w:p>
      <w:pPr>
        <w:pStyle w:val="126"/>
        <w:rPr>
          <w:rFonts w:ascii="宋体" w:hAnsi="宋体" w:eastAsia="宋体"/>
          <w:szCs w:val="23"/>
        </w:rPr>
      </w:pPr>
      <w:bookmarkStart w:id="139" w:name="_Toc152042594"/>
      <w:bookmarkStart w:id="140" w:name="_Toc144974873"/>
      <w:bookmarkStart w:id="141" w:name="_Toc25718"/>
      <w:bookmarkStart w:id="142" w:name="_Toc152045805"/>
      <w:bookmarkStart w:id="143" w:name="_Toc179632825"/>
      <w:bookmarkStart w:id="144" w:name="_Toc246392162"/>
      <w:r>
        <w:rPr>
          <w:rFonts w:hint="eastAsia" w:ascii="宋体" w:hAnsi="宋体" w:eastAsia="宋体"/>
          <w:szCs w:val="23"/>
        </w:rPr>
        <w:t>（二）主要人员简历表</w:t>
      </w:r>
      <w:bookmarkEnd w:id="139"/>
      <w:bookmarkEnd w:id="140"/>
      <w:bookmarkEnd w:id="141"/>
      <w:bookmarkEnd w:id="142"/>
      <w:bookmarkEnd w:id="143"/>
      <w:bookmarkEnd w:id="144"/>
    </w:p>
    <w:p>
      <w:pPr>
        <w:spacing w:line="400" w:lineRule="exact"/>
        <w:ind w:firstLine="420" w:firstLineChars="200"/>
        <w:rPr>
          <w:rFonts w:ascii="宋体" w:hAnsi="宋体"/>
        </w:rPr>
      </w:pPr>
    </w:p>
    <w:p>
      <w:pPr>
        <w:spacing w:line="400" w:lineRule="exact"/>
        <w:ind w:firstLine="420" w:firstLineChars="200"/>
        <w:rPr>
          <w:rFonts w:ascii="宋体" w:hAnsi="宋体"/>
        </w:rPr>
      </w:pPr>
      <w:r>
        <w:rPr>
          <w:rFonts w:hint="eastAsia" w:ascii="宋体" w:hAnsi="宋体"/>
        </w:rPr>
        <w:t>“主要人员简历表”中的项目经理应附项目经理证、身份证、职称证、学历证、建造师执业资格证（注册证）复印件，管理过的项目业绩须附合同协议书复印件；技术负责人应附身份证、职称证、学历证复印件，管理过的项目业绩须附证明其所任技术职务的企业文件或用户证明；其他主要人员应附职称证（执业证或上岗证书）复印件。</w:t>
      </w:r>
    </w:p>
    <w:p>
      <w:pPr>
        <w:topLinePunct/>
        <w:spacing w:line="440" w:lineRule="exact"/>
        <w:jc w:val="center"/>
        <w:rPr>
          <w:rFonts w:ascii="宋体" w:hAnsi="宋体"/>
          <w:sz w:val="23"/>
          <w:szCs w:val="23"/>
        </w:rPr>
      </w:pPr>
    </w:p>
    <w:tbl>
      <w:tblPr>
        <w:tblStyle w:val="52"/>
        <w:tblW w:w="8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362"/>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Theme="minorEastAsia" w:hAnsiTheme="minorEastAsia"/>
                <w:sz w:val="22"/>
              </w:rPr>
            </w:pPr>
            <w:r>
              <w:rPr>
                <w:rFonts w:hint="eastAsia" w:asciiTheme="minorEastAsia" w:hAnsiTheme="minorEastAsia"/>
                <w:sz w:val="22"/>
              </w:rPr>
              <w:t>姓  名</w:t>
            </w:r>
          </w:p>
        </w:tc>
        <w:tc>
          <w:tcPr>
            <w:tcW w:w="1079" w:type="dxa"/>
            <w:gridSpan w:val="2"/>
            <w:vAlign w:val="center"/>
          </w:tcPr>
          <w:p>
            <w:pPr>
              <w:spacing w:line="440" w:lineRule="exact"/>
              <w:rPr>
                <w:rFonts w:asciiTheme="minorEastAsia" w:hAnsiTheme="minorEastAsia"/>
                <w:sz w:val="22"/>
              </w:rPr>
            </w:pPr>
          </w:p>
        </w:tc>
        <w:tc>
          <w:tcPr>
            <w:tcW w:w="927" w:type="dxa"/>
            <w:vAlign w:val="center"/>
          </w:tcPr>
          <w:p>
            <w:pPr>
              <w:spacing w:line="440" w:lineRule="exact"/>
              <w:rPr>
                <w:rFonts w:asciiTheme="minorEastAsia" w:hAnsiTheme="minorEastAsia"/>
                <w:sz w:val="22"/>
              </w:rPr>
            </w:pPr>
            <w:r>
              <w:rPr>
                <w:rFonts w:hint="eastAsia" w:asciiTheme="minorEastAsia" w:hAnsiTheme="minorEastAsia"/>
                <w:sz w:val="22"/>
              </w:rPr>
              <w:t>年 龄</w:t>
            </w:r>
          </w:p>
        </w:tc>
        <w:tc>
          <w:tcPr>
            <w:tcW w:w="1065" w:type="dxa"/>
            <w:vAlign w:val="center"/>
          </w:tcPr>
          <w:p>
            <w:pPr>
              <w:spacing w:line="440" w:lineRule="exact"/>
              <w:rPr>
                <w:rFonts w:asciiTheme="minorEastAsia" w:hAnsiTheme="minorEastAsia"/>
                <w:sz w:val="22"/>
              </w:rPr>
            </w:pPr>
          </w:p>
        </w:tc>
        <w:tc>
          <w:tcPr>
            <w:tcW w:w="1784" w:type="dxa"/>
            <w:gridSpan w:val="3"/>
            <w:vAlign w:val="center"/>
          </w:tcPr>
          <w:p>
            <w:pPr>
              <w:spacing w:line="440" w:lineRule="exact"/>
              <w:rPr>
                <w:rFonts w:asciiTheme="minorEastAsia" w:hAnsiTheme="minorEastAsia"/>
                <w:sz w:val="22"/>
              </w:rPr>
            </w:pPr>
            <w:r>
              <w:rPr>
                <w:rFonts w:hint="eastAsia" w:asciiTheme="minorEastAsia" w:hAnsiTheme="minorEastAsia"/>
                <w:sz w:val="22"/>
              </w:rPr>
              <w:t>学历</w:t>
            </w:r>
          </w:p>
        </w:tc>
        <w:tc>
          <w:tcPr>
            <w:tcW w:w="2135" w:type="dxa"/>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Theme="minorEastAsia" w:hAnsiTheme="minorEastAsia"/>
                <w:sz w:val="22"/>
              </w:rPr>
            </w:pPr>
            <w:r>
              <w:rPr>
                <w:rFonts w:hint="eastAsia" w:asciiTheme="minorEastAsia" w:hAnsiTheme="minorEastAsia"/>
                <w:sz w:val="22"/>
              </w:rPr>
              <w:t>职  称</w:t>
            </w:r>
          </w:p>
        </w:tc>
        <w:tc>
          <w:tcPr>
            <w:tcW w:w="1079" w:type="dxa"/>
            <w:gridSpan w:val="2"/>
            <w:vAlign w:val="center"/>
          </w:tcPr>
          <w:p>
            <w:pPr>
              <w:spacing w:line="440" w:lineRule="exact"/>
              <w:rPr>
                <w:rFonts w:asciiTheme="minorEastAsia" w:hAnsiTheme="minorEastAsia"/>
                <w:sz w:val="22"/>
              </w:rPr>
            </w:pPr>
          </w:p>
        </w:tc>
        <w:tc>
          <w:tcPr>
            <w:tcW w:w="927" w:type="dxa"/>
            <w:vAlign w:val="center"/>
          </w:tcPr>
          <w:p>
            <w:pPr>
              <w:spacing w:line="440" w:lineRule="exact"/>
              <w:rPr>
                <w:rFonts w:asciiTheme="minorEastAsia" w:hAnsiTheme="minorEastAsia"/>
                <w:sz w:val="22"/>
              </w:rPr>
            </w:pPr>
            <w:r>
              <w:rPr>
                <w:rFonts w:hint="eastAsia" w:asciiTheme="minorEastAsia" w:hAnsiTheme="minorEastAsia"/>
                <w:sz w:val="22"/>
              </w:rPr>
              <w:t>职 务</w:t>
            </w:r>
          </w:p>
        </w:tc>
        <w:tc>
          <w:tcPr>
            <w:tcW w:w="1065" w:type="dxa"/>
            <w:vAlign w:val="center"/>
          </w:tcPr>
          <w:p>
            <w:pPr>
              <w:spacing w:line="440" w:lineRule="exact"/>
              <w:rPr>
                <w:rFonts w:asciiTheme="minorEastAsia" w:hAnsiTheme="minorEastAsia"/>
                <w:sz w:val="22"/>
              </w:rPr>
            </w:pPr>
          </w:p>
        </w:tc>
        <w:tc>
          <w:tcPr>
            <w:tcW w:w="1784" w:type="dxa"/>
            <w:gridSpan w:val="3"/>
            <w:vAlign w:val="center"/>
          </w:tcPr>
          <w:p>
            <w:pPr>
              <w:spacing w:line="440" w:lineRule="exact"/>
              <w:rPr>
                <w:rFonts w:asciiTheme="minorEastAsia" w:hAnsiTheme="minorEastAsia"/>
                <w:sz w:val="22"/>
              </w:rPr>
            </w:pPr>
            <w:r>
              <w:rPr>
                <w:rFonts w:hint="eastAsia" w:asciiTheme="minorEastAsia" w:hAnsiTheme="minorEastAsia"/>
                <w:sz w:val="22"/>
              </w:rPr>
              <w:t>拟在本合同任职</w:t>
            </w:r>
          </w:p>
        </w:tc>
        <w:tc>
          <w:tcPr>
            <w:tcW w:w="2135" w:type="dxa"/>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Theme="minorEastAsia" w:hAnsiTheme="minorEastAsia"/>
                <w:sz w:val="22"/>
              </w:rPr>
            </w:pPr>
            <w:r>
              <w:rPr>
                <w:rFonts w:hint="eastAsia" w:asciiTheme="minorEastAsia" w:hAnsiTheme="minorEastAsia"/>
                <w:sz w:val="22"/>
              </w:rPr>
              <w:t>毕业学校</w:t>
            </w:r>
          </w:p>
        </w:tc>
        <w:tc>
          <w:tcPr>
            <w:tcW w:w="6990" w:type="dxa"/>
            <w:gridSpan w:val="8"/>
          </w:tcPr>
          <w:p>
            <w:pPr>
              <w:spacing w:line="440" w:lineRule="exact"/>
              <w:rPr>
                <w:rFonts w:asciiTheme="minorEastAsia" w:hAnsiTheme="minorEastAsia"/>
                <w:sz w:val="22"/>
              </w:rPr>
            </w:pPr>
            <w:r>
              <w:rPr>
                <w:rFonts w:hint="eastAsia" w:asciiTheme="minorEastAsia" w:hAnsiTheme="minorEastAsia"/>
                <w:sz w:val="22"/>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6" w:type="dxa"/>
            <w:gridSpan w:val="9"/>
            <w:vAlign w:val="center"/>
          </w:tcPr>
          <w:p>
            <w:pPr>
              <w:spacing w:line="440" w:lineRule="exact"/>
              <w:rPr>
                <w:rFonts w:asciiTheme="minorEastAsia" w:hAnsiTheme="minorEastAsia"/>
                <w:sz w:val="22"/>
              </w:rPr>
            </w:pPr>
            <w:r>
              <w:rPr>
                <w:rFonts w:hint="eastAsia" w:asciiTheme="minorEastAsia" w:hAnsiTheme="minorEastAsia"/>
                <w:sz w:val="22"/>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Theme="minorEastAsia" w:hAnsiTheme="minorEastAsia"/>
                <w:sz w:val="22"/>
              </w:rPr>
            </w:pPr>
            <w:r>
              <w:rPr>
                <w:rFonts w:hint="eastAsia" w:asciiTheme="minorEastAsia" w:hAnsiTheme="minorEastAsia"/>
                <w:sz w:val="22"/>
              </w:rPr>
              <w:t>时  间</w:t>
            </w:r>
          </w:p>
        </w:tc>
        <w:tc>
          <w:tcPr>
            <w:tcW w:w="3074" w:type="dxa"/>
            <w:gridSpan w:val="4"/>
            <w:vAlign w:val="center"/>
          </w:tcPr>
          <w:p>
            <w:pPr>
              <w:spacing w:line="440" w:lineRule="exact"/>
              <w:rPr>
                <w:rFonts w:asciiTheme="minorEastAsia" w:hAnsiTheme="minorEastAsia"/>
                <w:sz w:val="22"/>
              </w:rPr>
            </w:pPr>
            <w:r>
              <w:rPr>
                <w:rFonts w:hint="eastAsia" w:asciiTheme="minorEastAsia" w:hAnsiTheme="minorEastAsia"/>
                <w:sz w:val="22"/>
              </w:rPr>
              <w:t>参加过的类似项目</w:t>
            </w:r>
          </w:p>
        </w:tc>
        <w:tc>
          <w:tcPr>
            <w:tcW w:w="1261" w:type="dxa"/>
            <w:vAlign w:val="center"/>
          </w:tcPr>
          <w:p>
            <w:pPr>
              <w:spacing w:line="440" w:lineRule="exact"/>
              <w:rPr>
                <w:rFonts w:asciiTheme="minorEastAsia" w:hAnsiTheme="minorEastAsia"/>
                <w:sz w:val="22"/>
              </w:rPr>
            </w:pPr>
            <w:r>
              <w:rPr>
                <w:rFonts w:hint="eastAsia" w:asciiTheme="minorEastAsia" w:hAnsiTheme="minorEastAsia"/>
                <w:sz w:val="22"/>
              </w:rPr>
              <w:t>担任职务</w:t>
            </w:r>
          </w:p>
        </w:tc>
        <w:tc>
          <w:tcPr>
            <w:tcW w:w="2296" w:type="dxa"/>
            <w:gridSpan w:val="2"/>
            <w:vAlign w:val="center"/>
          </w:tcPr>
          <w:p>
            <w:pPr>
              <w:spacing w:line="440" w:lineRule="exact"/>
              <w:rPr>
                <w:rFonts w:asciiTheme="minorEastAsia" w:hAnsiTheme="minorEastAsia"/>
                <w:sz w:val="22"/>
              </w:rPr>
            </w:pPr>
            <w:r>
              <w:rPr>
                <w:rFonts w:hint="eastAsia" w:asciiTheme="minorEastAsia" w:hAnsiTheme="minorEastAsia"/>
                <w:sz w:val="22"/>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Theme="minorEastAsia" w:hAnsiTheme="minorEastAsia"/>
                <w:sz w:val="22"/>
              </w:rPr>
            </w:pPr>
          </w:p>
        </w:tc>
        <w:tc>
          <w:tcPr>
            <w:tcW w:w="3074" w:type="dxa"/>
            <w:gridSpan w:val="4"/>
          </w:tcPr>
          <w:p>
            <w:pPr>
              <w:spacing w:line="440" w:lineRule="exact"/>
              <w:rPr>
                <w:rFonts w:asciiTheme="minorEastAsia" w:hAnsiTheme="minorEastAsia"/>
                <w:sz w:val="22"/>
              </w:rPr>
            </w:pPr>
          </w:p>
        </w:tc>
        <w:tc>
          <w:tcPr>
            <w:tcW w:w="1261" w:type="dxa"/>
          </w:tcPr>
          <w:p>
            <w:pPr>
              <w:spacing w:line="440" w:lineRule="exact"/>
              <w:rPr>
                <w:rFonts w:asciiTheme="minorEastAsia" w:hAnsiTheme="minorEastAsia"/>
                <w:sz w:val="22"/>
              </w:rPr>
            </w:pPr>
          </w:p>
        </w:tc>
        <w:tc>
          <w:tcPr>
            <w:tcW w:w="2296" w:type="dxa"/>
            <w:gridSpan w:val="2"/>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Theme="minorEastAsia" w:hAnsiTheme="minorEastAsia"/>
                <w:sz w:val="22"/>
              </w:rPr>
            </w:pPr>
          </w:p>
        </w:tc>
        <w:tc>
          <w:tcPr>
            <w:tcW w:w="3074" w:type="dxa"/>
            <w:gridSpan w:val="4"/>
          </w:tcPr>
          <w:p>
            <w:pPr>
              <w:spacing w:line="440" w:lineRule="exact"/>
              <w:rPr>
                <w:rFonts w:asciiTheme="minorEastAsia" w:hAnsiTheme="minorEastAsia"/>
                <w:sz w:val="22"/>
              </w:rPr>
            </w:pPr>
          </w:p>
        </w:tc>
        <w:tc>
          <w:tcPr>
            <w:tcW w:w="1261" w:type="dxa"/>
          </w:tcPr>
          <w:p>
            <w:pPr>
              <w:spacing w:line="440" w:lineRule="exact"/>
              <w:rPr>
                <w:rFonts w:asciiTheme="minorEastAsia" w:hAnsiTheme="minorEastAsia"/>
                <w:sz w:val="22"/>
              </w:rPr>
            </w:pPr>
          </w:p>
        </w:tc>
        <w:tc>
          <w:tcPr>
            <w:tcW w:w="2296" w:type="dxa"/>
            <w:gridSpan w:val="2"/>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asciiTheme="minorEastAsia" w:hAnsiTheme="minorEastAsia"/>
                <w:sz w:val="22"/>
              </w:rPr>
            </w:pPr>
          </w:p>
        </w:tc>
        <w:tc>
          <w:tcPr>
            <w:tcW w:w="3074" w:type="dxa"/>
            <w:gridSpan w:val="4"/>
          </w:tcPr>
          <w:p>
            <w:pPr>
              <w:spacing w:line="440" w:lineRule="exact"/>
              <w:rPr>
                <w:rFonts w:asciiTheme="minorEastAsia" w:hAnsiTheme="minorEastAsia"/>
                <w:sz w:val="22"/>
              </w:rPr>
            </w:pPr>
          </w:p>
        </w:tc>
        <w:tc>
          <w:tcPr>
            <w:tcW w:w="1261" w:type="dxa"/>
          </w:tcPr>
          <w:p>
            <w:pPr>
              <w:spacing w:line="440" w:lineRule="exact"/>
              <w:rPr>
                <w:rFonts w:asciiTheme="minorEastAsia" w:hAnsiTheme="minorEastAsia"/>
                <w:sz w:val="22"/>
              </w:rPr>
            </w:pPr>
          </w:p>
        </w:tc>
        <w:tc>
          <w:tcPr>
            <w:tcW w:w="2296" w:type="dxa"/>
            <w:gridSpan w:val="2"/>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vAlign w:val="center"/>
          </w:tcPr>
          <w:p>
            <w:pPr>
              <w:spacing w:line="440" w:lineRule="exact"/>
              <w:rPr>
                <w:rFonts w:asciiTheme="minorEastAsia" w:hAnsiTheme="minorEastAsia"/>
                <w:sz w:val="22"/>
              </w:rPr>
            </w:pPr>
          </w:p>
        </w:tc>
        <w:tc>
          <w:tcPr>
            <w:tcW w:w="3074" w:type="dxa"/>
            <w:gridSpan w:val="4"/>
            <w:vAlign w:val="center"/>
          </w:tcPr>
          <w:p>
            <w:pPr>
              <w:spacing w:line="440" w:lineRule="exact"/>
              <w:rPr>
                <w:rFonts w:asciiTheme="minorEastAsia" w:hAnsiTheme="minorEastAsia"/>
                <w:sz w:val="22"/>
              </w:rPr>
            </w:pPr>
          </w:p>
        </w:tc>
        <w:tc>
          <w:tcPr>
            <w:tcW w:w="1261" w:type="dxa"/>
            <w:vAlign w:val="center"/>
          </w:tcPr>
          <w:p>
            <w:pPr>
              <w:spacing w:line="440" w:lineRule="exact"/>
              <w:rPr>
                <w:rFonts w:asciiTheme="minorEastAsia" w:hAnsiTheme="minorEastAsia"/>
                <w:sz w:val="22"/>
              </w:rPr>
            </w:pPr>
          </w:p>
        </w:tc>
        <w:tc>
          <w:tcPr>
            <w:tcW w:w="2296" w:type="dxa"/>
            <w:gridSpan w:val="2"/>
            <w:vAlign w:val="center"/>
          </w:tcPr>
          <w:p>
            <w:pPr>
              <w:spacing w:line="440" w:lineRule="exact"/>
              <w:rPr>
                <w:rFonts w:asciiTheme="minorEastAsia" w:hAnsiTheme="minorEastAsia"/>
                <w:sz w:val="22"/>
              </w:rPr>
            </w:pPr>
          </w:p>
        </w:tc>
      </w:tr>
    </w:tbl>
    <w:p>
      <w:pPr>
        <w:spacing w:line="440" w:lineRule="exact"/>
        <w:rPr>
          <w:rFonts w:ascii="宋体" w:hAnsi="宋体"/>
          <w:sz w:val="20"/>
          <w:szCs w:val="20"/>
        </w:rPr>
      </w:pPr>
    </w:p>
    <w:p>
      <w:pPr>
        <w:spacing w:line="440" w:lineRule="exact"/>
        <w:jc w:val="center"/>
        <w:rPr>
          <w:rFonts w:ascii="Calibri" w:hAnsi="Calibri" w:eastAsia="黑体" w:cs="Calibri"/>
          <w:color w:val="000000"/>
          <w:sz w:val="32"/>
          <w:szCs w:val="32"/>
        </w:rPr>
      </w:pPr>
      <w:r>
        <w:rPr>
          <w:rFonts w:hint="eastAsia" w:ascii="宋体" w:hAnsi="宋体" w:eastAsia="宋体"/>
        </w:rPr>
        <w:br w:type="page"/>
      </w:r>
      <w:bookmarkStart w:id="145" w:name="_Toc245036711"/>
      <w:bookmarkStart w:id="146" w:name="_Toc7025"/>
      <w:r>
        <w:rPr>
          <w:rFonts w:hint="eastAsia" w:ascii="Calibri" w:hAnsi="Calibri" w:eastAsia="黑体" w:cs="Calibri"/>
          <w:color w:val="000000"/>
          <w:sz w:val="32"/>
          <w:szCs w:val="32"/>
        </w:rPr>
        <w:t>七、资格审查资料</w:t>
      </w:r>
      <w:bookmarkEnd w:id="145"/>
      <w:bookmarkEnd w:id="146"/>
    </w:p>
    <w:p>
      <w:pPr>
        <w:topLinePunct/>
        <w:spacing w:line="440" w:lineRule="exact"/>
        <w:jc w:val="center"/>
        <w:rPr>
          <w:rFonts w:ascii="宋体" w:hAnsi="宋体"/>
          <w:sz w:val="27"/>
          <w:szCs w:val="27"/>
        </w:rPr>
      </w:pPr>
    </w:p>
    <w:p>
      <w:pPr>
        <w:pStyle w:val="126"/>
        <w:rPr>
          <w:rFonts w:ascii="宋体" w:hAnsi="宋体" w:eastAsia="宋体"/>
          <w:szCs w:val="23"/>
        </w:rPr>
      </w:pPr>
      <w:bookmarkStart w:id="147" w:name="_Toc152042597"/>
      <w:bookmarkStart w:id="148" w:name="_Toc17487"/>
      <w:bookmarkStart w:id="149" w:name="_Toc245036712"/>
      <w:bookmarkStart w:id="150" w:name="_Toc144974876"/>
      <w:bookmarkStart w:id="151" w:name="_Toc152045808"/>
      <w:r>
        <w:rPr>
          <w:rFonts w:hint="eastAsia" w:ascii="宋体" w:hAnsi="宋体" w:eastAsia="宋体"/>
          <w:szCs w:val="23"/>
        </w:rPr>
        <w:t>（一）投标人基本情况表</w:t>
      </w:r>
      <w:bookmarkEnd w:id="147"/>
      <w:bookmarkEnd w:id="148"/>
      <w:bookmarkEnd w:id="149"/>
      <w:bookmarkEnd w:id="150"/>
      <w:bookmarkEnd w:id="151"/>
    </w:p>
    <w:p>
      <w:pPr>
        <w:topLinePunct/>
        <w:spacing w:line="440" w:lineRule="exact"/>
        <w:jc w:val="center"/>
        <w:rPr>
          <w:rFonts w:ascii="宋体" w:hAnsi="宋体"/>
          <w:sz w:val="23"/>
          <w:szCs w:val="23"/>
        </w:rPr>
      </w:pPr>
    </w:p>
    <w:tbl>
      <w:tblPr>
        <w:tblStyle w:val="52"/>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10" w:firstLineChars="50"/>
              <w:jc w:val="center"/>
              <w:rPr>
                <w:rFonts w:asciiTheme="minorEastAsia" w:hAnsiTheme="minorEastAsia"/>
                <w:sz w:val="22"/>
              </w:rPr>
            </w:pPr>
            <w:r>
              <w:rPr>
                <w:rFonts w:hint="eastAsia" w:asciiTheme="minorEastAsia" w:hAnsiTheme="minorEastAsia"/>
                <w:sz w:val="22"/>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pStyle w:val="36"/>
              <w:ind w:left="-23" w:firstLine="440" w:firstLineChars="200"/>
              <w:rPr>
                <w:rFonts w:asciiTheme="minorEastAsia" w:hAnsiTheme="minorEastAsia" w:eastAsiaTheme="minorEastAsia"/>
                <w:sz w:val="22"/>
                <w:szCs w:val="22"/>
              </w:rPr>
            </w:pPr>
            <w:r>
              <w:rPr>
                <w:rFonts w:hint="eastAsia" w:asciiTheme="minorEastAsia" w:hAnsiTheme="minorEastAsia" w:eastAsiaTheme="minorEastAsia"/>
                <w:sz w:val="22"/>
                <w:szCs w:val="22"/>
              </w:rPr>
              <w:t>技  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20" w:firstLineChars="100"/>
              <w:jc w:val="center"/>
              <w:rPr>
                <w:rFonts w:asciiTheme="minorEastAsia" w:hAnsiTheme="minorEastAsia"/>
                <w:sz w:val="22"/>
              </w:rPr>
            </w:pPr>
            <w:r>
              <w:rPr>
                <w:rFonts w:hint="eastAsia" w:asciiTheme="minorEastAsia" w:hAnsiTheme="minorEastAsia"/>
                <w:sz w:val="22"/>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rFonts w:asciiTheme="minorEastAsia" w:hAnsiTheme="minorEastAsia"/>
                <w:sz w:val="22"/>
              </w:rPr>
            </w:pPr>
          </w:p>
          <w:p>
            <w:pPr>
              <w:topLinePunct/>
              <w:spacing w:line="440" w:lineRule="exact"/>
              <w:jc w:val="center"/>
              <w:rPr>
                <w:rFonts w:asciiTheme="minorEastAsia" w:hAnsiTheme="minorEastAsia"/>
                <w:sz w:val="22"/>
              </w:rPr>
            </w:pPr>
          </w:p>
          <w:p>
            <w:pPr>
              <w:topLinePunct/>
              <w:spacing w:line="440" w:lineRule="exact"/>
              <w:jc w:val="center"/>
              <w:rPr>
                <w:rFonts w:asciiTheme="minorEastAsia" w:hAnsiTheme="minorEastAsia"/>
                <w:sz w:val="22"/>
              </w:rPr>
            </w:pPr>
          </w:p>
          <w:p>
            <w:pPr>
              <w:topLinePunct/>
              <w:spacing w:line="440" w:lineRule="exact"/>
              <w:jc w:val="center"/>
              <w:rPr>
                <w:rFonts w:asciiTheme="minorEastAsia" w:hAnsiTheme="minorEastAsia"/>
                <w:sz w:val="22"/>
              </w:rPr>
            </w:pPr>
          </w:p>
          <w:p>
            <w:pPr>
              <w:topLinePunct/>
              <w:spacing w:line="440" w:lineRule="exact"/>
              <w:rPr>
                <w:rFonts w:asciiTheme="minorEastAsia" w:hAnsiTheme="minorEastAsia"/>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r>
              <w:rPr>
                <w:rFonts w:hint="eastAsia" w:asciiTheme="minorEastAsia" w:hAnsiTheme="minorEastAsia"/>
                <w:sz w:val="22"/>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heme="minorEastAsia" w:hAnsiTheme="minorEastAsia"/>
                <w:sz w:val="22"/>
              </w:rPr>
            </w:pPr>
          </w:p>
        </w:tc>
      </w:tr>
    </w:tbl>
    <w:p>
      <w:pPr>
        <w:spacing w:line="400" w:lineRule="exact"/>
        <w:ind w:firstLine="420" w:firstLineChars="200"/>
        <w:rPr>
          <w:rFonts w:ascii="宋体" w:hAnsi="宋体"/>
        </w:rPr>
      </w:pPr>
      <w:r>
        <w:rPr>
          <w:rFonts w:hint="eastAsia" w:ascii="宋体" w:hAnsi="宋体"/>
        </w:rPr>
        <w:t>附：投标人有效的营业执照、资质证书、安全生产许可证及三类人员证书（和任命文件）、业绩证明材料等复印件。</w:t>
      </w:r>
    </w:p>
    <w:p>
      <w:pPr>
        <w:pStyle w:val="126"/>
        <w:rPr>
          <w:rFonts w:ascii="宋体" w:hAnsi="宋体" w:eastAsia="宋体"/>
          <w:szCs w:val="23"/>
        </w:rPr>
      </w:pPr>
      <w:bookmarkStart w:id="152" w:name="_Toc152045809"/>
      <w:bookmarkStart w:id="153" w:name="_Toc16950"/>
      <w:bookmarkStart w:id="154" w:name="_Toc245036713"/>
      <w:bookmarkStart w:id="155" w:name="_Toc144974877"/>
      <w:bookmarkStart w:id="156" w:name="_Toc152042598"/>
      <w:r>
        <w:rPr>
          <w:rFonts w:hint="eastAsia" w:ascii="宋体" w:hAnsi="宋体" w:eastAsia="宋体"/>
        </w:rPr>
        <w:br w:type="page"/>
      </w:r>
      <w:r>
        <w:rPr>
          <w:rFonts w:hint="eastAsia" w:ascii="宋体" w:hAnsi="宋体" w:eastAsia="宋体"/>
        </w:rPr>
        <w:t>（二）近年财务状况表</w:t>
      </w:r>
      <w:bookmarkEnd w:id="152"/>
      <w:bookmarkEnd w:id="153"/>
      <w:bookmarkEnd w:id="154"/>
      <w:bookmarkEnd w:id="155"/>
      <w:bookmarkEnd w:id="156"/>
    </w:p>
    <w:p>
      <w:pPr>
        <w:spacing w:line="440" w:lineRule="exact"/>
        <w:rPr>
          <w:rFonts w:ascii="宋体" w:hAnsi="宋体"/>
          <w:sz w:val="23"/>
          <w:szCs w:val="23"/>
        </w:rPr>
      </w:pPr>
    </w:p>
    <w:p>
      <w:pPr>
        <w:pStyle w:val="126"/>
        <w:rPr>
          <w:rFonts w:ascii="宋体" w:hAnsi="宋体" w:eastAsia="宋体"/>
          <w:szCs w:val="23"/>
        </w:rPr>
      </w:pPr>
      <w:bookmarkStart w:id="157" w:name="_Toc245036714"/>
      <w:bookmarkStart w:id="158" w:name="_Toc144974878"/>
      <w:bookmarkStart w:id="159" w:name="_Toc152042599"/>
      <w:bookmarkStart w:id="160" w:name="_Toc31021"/>
      <w:bookmarkStart w:id="161" w:name="_Toc152045810"/>
      <w:r>
        <w:rPr>
          <w:rFonts w:hint="eastAsia" w:ascii="宋体" w:hAnsi="宋体" w:eastAsia="宋体"/>
          <w:szCs w:val="23"/>
        </w:rPr>
        <w:t>（三）近年完成的类似项目情况表</w:t>
      </w:r>
      <w:bookmarkEnd w:id="157"/>
      <w:bookmarkEnd w:id="158"/>
      <w:bookmarkEnd w:id="159"/>
      <w:bookmarkEnd w:id="160"/>
      <w:bookmarkEnd w:id="161"/>
    </w:p>
    <w:p>
      <w:pPr>
        <w:spacing w:line="440" w:lineRule="exact"/>
        <w:jc w:val="center"/>
        <w:rPr>
          <w:rFonts w:ascii="宋体" w:hAnsi="宋体"/>
          <w:sz w:val="23"/>
          <w:szCs w:val="23"/>
        </w:rPr>
      </w:pPr>
    </w:p>
    <w:tbl>
      <w:tblPr>
        <w:tblStyle w:val="52"/>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项目名称</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bookmarkStart w:id="162" w:name="_Toc13233"/>
            <w:r>
              <w:rPr>
                <w:rFonts w:hint="eastAsia" w:ascii="宋体" w:hAnsi="宋体"/>
                <w:szCs w:val="21"/>
              </w:rPr>
              <w:t>项目所在地</w:t>
            </w:r>
            <w:bookmarkEnd w:id="162"/>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发包人名称</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bookmarkStart w:id="163" w:name="_Toc20896"/>
            <w:r>
              <w:rPr>
                <w:rFonts w:hint="eastAsia" w:ascii="宋体" w:hAnsi="宋体"/>
                <w:szCs w:val="21"/>
              </w:rPr>
              <w:t>发包人地址</w:t>
            </w:r>
            <w:bookmarkEnd w:id="163"/>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发包人电话</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合同价格</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开工日期</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竣工日期</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bookmarkStart w:id="164" w:name="_Toc3155"/>
            <w:r>
              <w:rPr>
                <w:rFonts w:hint="eastAsia" w:ascii="宋体" w:hAnsi="宋体"/>
                <w:szCs w:val="21"/>
              </w:rPr>
              <w:t>承担的工作</w:t>
            </w:r>
            <w:bookmarkEnd w:id="164"/>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工程质量</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项目经理</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技术负责人</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总监理工程师及电话</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项目描述</w:t>
            </w:r>
          </w:p>
        </w:tc>
        <w:tc>
          <w:tcPr>
            <w:tcW w:w="5927" w:type="dxa"/>
            <w:vAlign w:val="center"/>
          </w:tcPr>
          <w:p>
            <w:pPr>
              <w:topLinePunct/>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29" w:type="dxa"/>
            <w:vAlign w:val="center"/>
          </w:tcPr>
          <w:p>
            <w:pPr>
              <w:topLinePunct/>
              <w:spacing w:line="440" w:lineRule="exact"/>
              <w:rPr>
                <w:rFonts w:ascii="宋体" w:hAnsi="宋体"/>
                <w:szCs w:val="21"/>
              </w:rPr>
            </w:pPr>
            <w:r>
              <w:rPr>
                <w:rFonts w:hint="eastAsia" w:ascii="宋体" w:hAnsi="宋体"/>
                <w:szCs w:val="21"/>
              </w:rPr>
              <w:t>备注</w:t>
            </w:r>
          </w:p>
        </w:tc>
        <w:tc>
          <w:tcPr>
            <w:tcW w:w="5927" w:type="dxa"/>
            <w:vAlign w:val="center"/>
          </w:tcPr>
          <w:p>
            <w:pPr>
              <w:topLinePunct/>
              <w:spacing w:line="440" w:lineRule="exact"/>
              <w:rPr>
                <w:rFonts w:ascii="宋体" w:hAnsi="宋体"/>
                <w:szCs w:val="21"/>
              </w:rPr>
            </w:pPr>
          </w:p>
        </w:tc>
      </w:tr>
    </w:tbl>
    <w:p>
      <w:pPr>
        <w:pStyle w:val="126"/>
        <w:rPr>
          <w:rFonts w:ascii="宋体" w:hAnsi="宋体" w:eastAsia="宋体"/>
          <w:szCs w:val="23"/>
        </w:rPr>
      </w:pPr>
      <w:bookmarkStart w:id="165" w:name="_Toc152045811"/>
      <w:bookmarkStart w:id="166" w:name="_Toc245036715"/>
      <w:bookmarkStart w:id="167" w:name="_Toc152042600"/>
      <w:bookmarkStart w:id="168" w:name="_Toc26600"/>
      <w:bookmarkStart w:id="169" w:name="_Toc144974879"/>
      <w:r>
        <w:rPr>
          <w:rFonts w:hint="eastAsia" w:ascii="宋体" w:hAnsi="宋体" w:eastAsia="宋体"/>
          <w:szCs w:val="23"/>
        </w:rPr>
        <w:br w:type="page"/>
      </w:r>
      <w:r>
        <w:rPr>
          <w:rFonts w:hint="eastAsia" w:ascii="宋体" w:hAnsi="宋体" w:eastAsia="宋体"/>
          <w:szCs w:val="23"/>
        </w:rPr>
        <w:t>（四）正在施工的和新承接的项目情况表</w:t>
      </w:r>
      <w:bookmarkEnd w:id="165"/>
      <w:bookmarkEnd w:id="166"/>
      <w:bookmarkEnd w:id="167"/>
      <w:bookmarkEnd w:id="168"/>
      <w:bookmarkEnd w:id="169"/>
    </w:p>
    <w:p>
      <w:pPr>
        <w:keepNext/>
        <w:keepLines/>
        <w:topLinePunct/>
        <w:spacing w:before="240" w:beforeLines="100" w:line="280" w:lineRule="exact"/>
        <w:outlineLvl w:val="2"/>
        <w:rPr>
          <w:rFonts w:ascii="宋体" w:hAnsi="宋体"/>
          <w:b/>
          <w:bCs/>
          <w:szCs w:val="21"/>
        </w:rPr>
      </w:pPr>
    </w:p>
    <w:tbl>
      <w:tblPr>
        <w:tblStyle w:val="52"/>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6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bookmarkStart w:id="170" w:name="_Toc5773"/>
            <w:bookmarkStart w:id="171" w:name="_Toc152042601"/>
            <w:bookmarkStart w:id="172" w:name="_Toc245036716"/>
            <w:bookmarkStart w:id="173" w:name="_Toc152045812"/>
            <w:bookmarkStart w:id="174" w:name="_Toc144974880"/>
            <w:r>
              <w:rPr>
                <w:rFonts w:hint="eastAsia" w:ascii="宋体" w:hAnsi="宋体"/>
                <w:szCs w:val="21"/>
              </w:rPr>
              <w:t>项目名称</w:t>
            </w:r>
            <w:bookmarkEnd w:id="170"/>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项目所在地</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发包人名称</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发包人地址</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发包人电话</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签约合同价</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开工日期</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计划竣工日期</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承担的工作</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工程质量</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项目经理</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技术负责人</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总监理工程师及电话</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2376" w:type="dxa"/>
            <w:vAlign w:val="center"/>
          </w:tcPr>
          <w:p>
            <w:pPr>
              <w:topLinePunct/>
              <w:spacing w:line="440" w:lineRule="exact"/>
              <w:rPr>
                <w:rFonts w:ascii="宋体" w:hAnsi="宋体"/>
                <w:szCs w:val="21"/>
              </w:rPr>
            </w:pPr>
            <w:r>
              <w:rPr>
                <w:rFonts w:hint="eastAsia" w:ascii="宋体" w:hAnsi="宋体"/>
                <w:szCs w:val="21"/>
              </w:rPr>
              <w:t>项目描述</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6" w:type="dxa"/>
            <w:vAlign w:val="center"/>
          </w:tcPr>
          <w:p>
            <w:pPr>
              <w:topLinePunct/>
              <w:spacing w:line="440" w:lineRule="exact"/>
              <w:rPr>
                <w:rFonts w:ascii="宋体" w:hAnsi="宋体"/>
                <w:szCs w:val="21"/>
              </w:rPr>
            </w:pPr>
            <w:r>
              <w:rPr>
                <w:rFonts w:hint="eastAsia" w:ascii="宋体" w:hAnsi="宋体"/>
                <w:szCs w:val="21"/>
              </w:rPr>
              <w:t>备注</w:t>
            </w:r>
          </w:p>
        </w:tc>
        <w:tc>
          <w:tcPr>
            <w:tcW w:w="6480" w:type="dxa"/>
            <w:vAlign w:val="center"/>
          </w:tcPr>
          <w:p>
            <w:pPr>
              <w:keepNext/>
              <w:keepLines/>
              <w:topLinePunct/>
              <w:spacing w:before="240" w:beforeLines="100" w:line="280" w:lineRule="exact"/>
              <w:outlineLvl w:val="2"/>
              <w:rPr>
                <w:rFonts w:ascii="宋体" w:hAnsi="宋体" w:eastAsia="宋体" w:cs="Times New Roman"/>
                <w:b/>
                <w:bCs/>
                <w:kern w:val="0"/>
                <w:sz w:val="28"/>
                <w:szCs w:val="21"/>
              </w:rPr>
            </w:pPr>
          </w:p>
        </w:tc>
      </w:tr>
      <w:bookmarkEnd w:id="171"/>
      <w:bookmarkEnd w:id="172"/>
      <w:bookmarkEnd w:id="173"/>
      <w:bookmarkEnd w:id="174"/>
    </w:tbl>
    <w:p>
      <w:pPr>
        <w:spacing w:line="440" w:lineRule="exact"/>
        <w:rPr>
          <w:rFonts w:ascii="宋体" w:hAnsi="宋体"/>
          <w:sz w:val="20"/>
          <w:szCs w:val="20"/>
        </w:rPr>
      </w:pPr>
    </w:p>
    <w:p>
      <w:pPr>
        <w:spacing w:line="440" w:lineRule="exact"/>
        <w:jc w:val="center"/>
        <w:rPr>
          <w:rFonts w:ascii="Calibri" w:hAnsi="Calibri" w:eastAsia="黑体" w:cs="Calibri"/>
          <w:color w:val="000000"/>
          <w:sz w:val="32"/>
          <w:szCs w:val="32"/>
        </w:rPr>
      </w:pPr>
      <w:bookmarkStart w:id="175" w:name="_Toc675"/>
      <w:bookmarkStart w:id="176" w:name="_Toc152045813"/>
      <w:bookmarkStart w:id="177" w:name="_Toc144974881"/>
      <w:bookmarkStart w:id="178" w:name="_Toc152042602"/>
      <w:bookmarkStart w:id="179" w:name="_Toc245036717"/>
      <w:r>
        <w:rPr>
          <w:rFonts w:hint="eastAsia" w:ascii="宋体" w:hAnsi="宋体" w:eastAsia="宋体"/>
        </w:rPr>
        <w:br w:type="page"/>
      </w:r>
      <w:r>
        <w:rPr>
          <w:rFonts w:hint="eastAsia" w:ascii="Calibri" w:hAnsi="Calibri" w:eastAsia="黑体" w:cs="Calibri"/>
          <w:color w:val="000000"/>
          <w:sz w:val="32"/>
          <w:szCs w:val="32"/>
        </w:rPr>
        <w:t>八、</w:t>
      </w:r>
      <w:bookmarkEnd w:id="175"/>
      <w:bookmarkEnd w:id="176"/>
      <w:bookmarkEnd w:id="177"/>
      <w:bookmarkEnd w:id="178"/>
      <w:bookmarkEnd w:id="179"/>
      <w:bookmarkStart w:id="180" w:name="_Toc21221"/>
      <w:r>
        <w:rPr>
          <w:rFonts w:hint="eastAsia" w:ascii="Calibri" w:hAnsi="Calibri" w:eastAsia="黑体" w:cs="Calibri"/>
          <w:color w:val="000000"/>
          <w:sz w:val="32"/>
          <w:szCs w:val="32"/>
        </w:rPr>
        <w:t>投标人认为</w:t>
      </w:r>
      <w:r>
        <w:rPr>
          <w:rFonts w:ascii="Calibri" w:hAnsi="Calibri" w:eastAsia="黑体" w:cs="Calibri"/>
          <w:color w:val="000000"/>
          <w:sz w:val="32"/>
          <w:szCs w:val="32"/>
        </w:rPr>
        <w:t>应该提供的其他材料</w:t>
      </w:r>
    </w:p>
    <w:bookmarkEnd w:id="180"/>
    <w:p>
      <w:pPr>
        <w:overflowPunct w:val="0"/>
        <w:autoSpaceDE w:val="0"/>
        <w:autoSpaceDN w:val="0"/>
        <w:spacing w:line="440" w:lineRule="exact"/>
        <w:ind w:left="839" w:hanging="839"/>
        <w:jc w:val="center"/>
        <w:rPr>
          <w:rFonts w:ascii="宋体" w:hAnsi="宋体" w:cs="宋体"/>
          <w:b/>
          <w:sz w:val="32"/>
          <w:szCs w:val="32"/>
        </w:rPr>
      </w:pPr>
    </w:p>
    <w:p/>
    <w:bookmarkEnd w:id="40"/>
    <w:p>
      <w:pPr>
        <w:adjustRightInd w:val="0"/>
        <w:snapToGrid w:val="0"/>
        <w:spacing w:line="360" w:lineRule="exact"/>
        <w:ind w:firstLine="440"/>
        <w:rPr>
          <w:rFonts w:ascii="宋体" w:hAnsi="宋体" w:cs="Calibri"/>
          <w:kern w:val="0"/>
          <w:sz w:val="22"/>
        </w:rPr>
      </w:pPr>
    </w:p>
    <w:p/>
    <w:p/>
    <w:p/>
    <w:p/>
    <w:p/>
    <w:p/>
    <w:sectPr>
      <w:footerReference r:id="rId7" w:type="first"/>
      <w:pgSz w:w="11906" w:h="16838"/>
      <w:pgMar w:top="1134" w:right="1247" w:bottom="1134" w:left="124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11381"/>
    </w:sdtPr>
    <w:sdtContent>
      <w:p>
        <w:pPr>
          <w:pStyle w:val="34"/>
          <w:jc w:val="center"/>
        </w:pPr>
        <w:r>
          <w:fldChar w:fldCharType="begin"/>
        </w:r>
        <w:r>
          <w:instrText xml:space="preserve"> PAGE   \* MERGEFORMAT </w:instrText>
        </w:r>
        <w:r>
          <w:fldChar w:fldCharType="separate"/>
        </w:r>
        <w:r>
          <w:rPr>
            <w:lang w:val="zh-CN"/>
          </w:rPr>
          <w:t>-</w:t>
        </w:r>
        <w:r>
          <w:t xml:space="preserve"> 21 -</w:t>
        </w:r>
        <w:r>
          <w:fldChar w:fldCharType="end"/>
        </w:r>
      </w:p>
    </w:sdtContent>
  </w:sdt>
  <w:p>
    <w:pPr>
      <w:pStyle w:val="3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rPr>
        <w:rStyle w:val="56"/>
      </w:rPr>
    </w:pPr>
    <w:r>
      <w:fldChar w:fldCharType="begin"/>
    </w:r>
    <w:r>
      <w:rPr>
        <w:rStyle w:val="56"/>
      </w:rPr>
      <w:instrText xml:space="preserve">PAGE  </w:instrText>
    </w:r>
    <w:r>
      <w:fldChar w:fldCharType="end"/>
    </w:r>
  </w:p>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p>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rPr>
        <w:rStyle w:val="56"/>
      </w:rPr>
    </w:pPr>
    <w:r>
      <w:fldChar w:fldCharType="begin"/>
    </w:r>
    <w:r>
      <w:rPr>
        <w:rStyle w:val="56"/>
      </w:rPr>
      <w:instrText xml:space="preserve">PAGE  </w:instrText>
    </w:r>
    <w:r>
      <w:fldChar w:fldCharType="separate"/>
    </w:r>
    <w:r>
      <w:rPr>
        <w:rStyle w:val="56"/>
      </w:rPr>
      <w:t>40</w:t>
    </w:r>
    <w:r>
      <w:fldChar w:fldCharType="end"/>
    </w:r>
  </w:p>
  <w:p>
    <w:pPr>
      <w:pStyle w:val="3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top w:val="none" w:color="auto" w:sz="0" w:space="0"/>
        <w:left w:val="none" w:color="auto" w:sz="0" w:space="0"/>
        <w:bottom w:val="single" w:color="auto" w:sz="4" w:space="1"/>
        <w:right w:val="none" w:color="auto" w:sz="0" w:space="0"/>
      </w:pBdr>
      <w:rPr>
        <w:rFonts w:ascii="宋体" w:hAnsi="宋体"/>
        <w:szCs w:val="18"/>
      </w:rPr>
    </w:pPr>
    <w:r>
      <w:rPr>
        <w:rFonts w:hint="eastAsia" w:ascii="宋体" w:hAnsi="宋体"/>
        <w:color w:val="000000"/>
        <w:szCs w:val="18"/>
      </w:rPr>
      <w:t>浙江航空开发有限责任公司药品仓储基地3#库屋面维修项目招标文件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bullet"/>
      <w:pStyle w:val="26"/>
      <w:lvlText w:val=""/>
      <w:lvlJc w:val="left"/>
      <w:pPr>
        <w:tabs>
          <w:tab w:val="left" w:pos="780"/>
        </w:tabs>
        <w:ind w:left="780" w:hanging="360"/>
      </w:pPr>
      <w:rPr>
        <w:rFonts w:hint="default" w:ascii="Wingdings" w:hAnsi="Wingdings"/>
      </w:rPr>
    </w:lvl>
  </w:abstractNum>
  <w:abstractNum w:abstractNumId="1">
    <w:nsid w:val="FFFFFF89"/>
    <w:multiLevelType w:val="singleLevel"/>
    <w:tmpl w:val="FFFFFF89"/>
    <w:lvl w:ilvl="0" w:tentative="0">
      <w:start w:val="1"/>
      <w:numFmt w:val="bullet"/>
      <w:pStyle w:val="17"/>
      <w:lvlText w:val=""/>
      <w:lvlJc w:val="left"/>
      <w:pPr>
        <w:tabs>
          <w:tab w:val="left" w:pos="360"/>
        </w:tabs>
        <w:ind w:left="360" w:hanging="360"/>
      </w:pPr>
      <w:rPr>
        <w:rFonts w:hint="default" w:ascii="Wingdings" w:hAnsi="Wingdings"/>
      </w:rPr>
    </w:lvl>
  </w:abstractNum>
  <w:abstractNum w:abstractNumId="2">
    <w:nsid w:val="0C2BE856"/>
    <w:multiLevelType w:val="singleLevel"/>
    <w:tmpl w:val="0C2BE856"/>
    <w:lvl w:ilvl="0" w:tentative="0">
      <w:start w:val="1"/>
      <w:numFmt w:val="decimal"/>
      <w:suff w:val="nothing"/>
      <w:lvlText w:val="（%1）"/>
      <w:lvlJc w:val="left"/>
    </w:lvl>
  </w:abstractNum>
  <w:abstractNum w:abstractNumId="3">
    <w:nsid w:val="13D44F69"/>
    <w:multiLevelType w:val="multilevel"/>
    <w:tmpl w:val="13D44F69"/>
    <w:lvl w:ilvl="0" w:tentative="0">
      <w:start w:val="1"/>
      <w:numFmt w:val="japaneseCounting"/>
      <w:lvlText w:val="%1、"/>
      <w:lvlJc w:val="left"/>
      <w:pPr>
        <w:ind w:left="480" w:hanging="48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4">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420"/>
        </w:tabs>
        <w:ind w:left="420"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5">
    <w:nsid w:val="4F0A7143"/>
    <w:multiLevelType w:val="multilevel"/>
    <w:tmpl w:val="4F0A714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896"/>
    <w:rsid w:val="00A11716"/>
    <w:rsid w:val="00E12CCD"/>
    <w:rsid w:val="00F47896"/>
    <w:rsid w:val="00F7401E"/>
    <w:rsid w:val="5E470223"/>
    <w:rsid w:val="755F7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9"/>
    <w:qFormat/>
    <w:uiPriority w:val="0"/>
    <w:pPr>
      <w:keepNext/>
      <w:keepLines/>
      <w:spacing w:before="340" w:after="330" w:line="360" w:lineRule="auto"/>
      <w:jc w:val="center"/>
      <w:outlineLvl w:val="0"/>
    </w:pPr>
    <w:rPr>
      <w:rFonts w:ascii="Times New Roman" w:hAnsi="Times New Roman" w:eastAsia="宋体" w:cs="Times New Roman"/>
      <w:b/>
      <w:bCs/>
      <w:kern w:val="44"/>
      <w:sz w:val="30"/>
      <w:szCs w:val="44"/>
    </w:rPr>
  </w:style>
  <w:style w:type="paragraph" w:styleId="3">
    <w:name w:val="heading 2"/>
    <w:basedOn w:val="1"/>
    <w:next w:val="1"/>
    <w:link w:val="60"/>
    <w:qFormat/>
    <w:uiPriority w:val="0"/>
    <w:pPr>
      <w:keepNext/>
      <w:keepLines/>
      <w:spacing w:before="260" w:after="260" w:line="360" w:lineRule="auto"/>
      <w:jc w:val="center"/>
      <w:outlineLvl w:val="1"/>
    </w:pPr>
    <w:rPr>
      <w:rFonts w:ascii="Arial" w:hAnsi="Arial" w:eastAsia="宋体" w:cs="Times New Roman"/>
      <w:b/>
      <w:bCs/>
      <w:kern w:val="0"/>
      <w:sz w:val="28"/>
      <w:szCs w:val="32"/>
    </w:rPr>
  </w:style>
  <w:style w:type="paragraph" w:styleId="4">
    <w:name w:val="heading 3"/>
    <w:basedOn w:val="1"/>
    <w:next w:val="1"/>
    <w:link w:val="61"/>
    <w:qFormat/>
    <w:uiPriority w:val="0"/>
    <w:pPr>
      <w:keepNext/>
      <w:numPr>
        <w:ilvl w:val="0"/>
        <w:numId w:val="1"/>
      </w:numPr>
      <w:spacing w:line="216" w:lineRule="auto"/>
      <w:outlineLvl w:val="2"/>
    </w:pPr>
    <w:rPr>
      <w:rFonts w:ascii="宋体" w:hAnsi="Times New Roman" w:eastAsia="宋体" w:cs="Times New Roman"/>
      <w:b/>
      <w:kern w:val="0"/>
      <w:sz w:val="28"/>
      <w:szCs w:val="20"/>
    </w:rPr>
  </w:style>
  <w:style w:type="paragraph" w:styleId="5">
    <w:name w:val="heading 4"/>
    <w:basedOn w:val="1"/>
    <w:next w:val="1"/>
    <w:link w:val="62"/>
    <w:qFormat/>
    <w:uiPriority w:val="0"/>
    <w:pPr>
      <w:keepNext/>
      <w:keepLines/>
      <w:spacing w:before="280" w:after="290" w:line="376" w:lineRule="auto"/>
      <w:outlineLvl w:val="3"/>
    </w:pPr>
    <w:rPr>
      <w:rFonts w:ascii="Arial" w:hAnsi="Arial" w:eastAsia="黑体" w:cs="Times New Roman"/>
      <w:b/>
      <w:bCs/>
      <w:kern w:val="0"/>
      <w:sz w:val="28"/>
      <w:szCs w:val="28"/>
    </w:rPr>
  </w:style>
  <w:style w:type="paragraph" w:styleId="6">
    <w:name w:val="heading 5"/>
    <w:basedOn w:val="1"/>
    <w:next w:val="1"/>
    <w:link w:val="63"/>
    <w:qFormat/>
    <w:uiPriority w:val="0"/>
    <w:pPr>
      <w:keepNext/>
      <w:keepLines/>
      <w:spacing w:before="280" w:after="290" w:line="376" w:lineRule="auto"/>
      <w:outlineLvl w:val="4"/>
    </w:pPr>
    <w:rPr>
      <w:rFonts w:ascii="Times New Roman" w:hAnsi="Times New Roman" w:eastAsia="宋体" w:cs="Times New Roman"/>
      <w:b/>
      <w:bCs/>
      <w:kern w:val="0"/>
      <w:sz w:val="28"/>
      <w:szCs w:val="28"/>
    </w:rPr>
  </w:style>
  <w:style w:type="paragraph" w:styleId="7">
    <w:name w:val="heading 6"/>
    <w:basedOn w:val="1"/>
    <w:next w:val="1"/>
    <w:link w:val="64"/>
    <w:qFormat/>
    <w:uiPriority w:val="0"/>
    <w:pPr>
      <w:keepNext/>
      <w:keepLines/>
      <w:spacing w:before="240" w:after="64" w:line="320" w:lineRule="auto"/>
      <w:outlineLvl w:val="5"/>
    </w:pPr>
    <w:rPr>
      <w:rFonts w:ascii="Arial" w:hAnsi="Arial" w:eastAsia="黑体" w:cs="Times New Roman"/>
      <w:b/>
      <w:bCs/>
      <w:kern w:val="0"/>
      <w:sz w:val="24"/>
      <w:szCs w:val="24"/>
    </w:rPr>
  </w:style>
  <w:style w:type="paragraph" w:styleId="8">
    <w:name w:val="heading 7"/>
    <w:basedOn w:val="1"/>
    <w:next w:val="1"/>
    <w:link w:val="65"/>
    <w:qFormat/>
    <w:uiPriority w:val="0"/>
    <w:pPr>
      <w:keepNext/>
      <w:keepLines/>
      <w:tabs>
        <w:tab w:val="left" w:pos="1296"/>
      </w:tabs>
      <w:spacing w:before="240" w:after="64" w:line="320" w:lineRule="auto"/>
      <w:ind w:left="1296" w:hanging="1296"/>
      <w:outlineLvl w:val="6"/>
    </w:pPr>
    <w:rPr>
      <w:rFonts w:ascii="Times New Roman" w:hAnsi="Times New Roman" w:eastAsia="宋体" w:cs="Times New Roman"/>
      <w:b/>
      <w:bCs/>
      <w:kern w:val="0"/>
      <w:sz w:val="24"/>
      <w:szCs w:val="24"/>
    </w:rPr>
  </w:style>
  <w:style w:type="paragraph" w:styleId="9">
    <w:name w:val="heading 8"/>
    <w:basedOn w:val="1"/>
    <w:next w:val="1"/>
    <w:link w:val="66"/>
    <w:qFormat/>
    <w:uiPriority w:val="0"/>
    <w:pPr>
      <w:keepNext/>
      <w:keepLines/>
      <w:tabs>
        <w:tab w:val="left" w:pos="1440"/>
      </w:tabs>
      <w:spacing w:before="240" w:after="64" w:line="320" w:lineRule="auto"/>
      <w:ind w:left="1440" w:hanging="1440"/>
      <w:outlineLvl w:val="7"/>
    </w:pPr>
    <w:rPr>
      <w:rFonts w:ascii="Arial" w:hAnsi="Arial" w:eastAsia="黑体" w:cs="Times New Roman"/>
      <w:kern w:val="0"/>
      <w:sz w:val="24"/>
      <w:szCs w:val="24"/>
    </w:rPr>
  </w:style>
  <w:style w:type="paragraph" w:styleId="10">
    <w:name w:val="heading 9"/>
    <w:basedOn w:val="1"/>
    <w:next w:val="1"/>
    <w:link w:val="67"/>
    <w:qFormat/>
    <w:uiPriority w:val="0"/>
    <w:pPr>
      <w:keepNext/>
      <w:keepLines/>
      <w:tabs>
        <w:tab w:val="left" w:pos="1584"/>
      </w:tabs>
      <w:spacing w:before="240" w:after="64" w:line="320" w:lineRule="auto"/>
      <w:ind w:left="1584" w:hanging="1584"/>
      <w:outlineLvl w:val="8"/>
    </w:pPr>
    <w:rPr>
      <w:rFonts w:ascii="Arial" w:hAnsi="Arial" w:eastAsia="黑体" w:cs="Times New Roman"/>
      <w:kern w:val="0"/>
      <w:sz w:val="20"/>
      <w:szCs w:val="21"/>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rPr>
      <w:rFonts w:ascii="Times New Roman" w:hAnsi="Times New Roman" w:eastAsia="宋体" w:cs="Times New Roman"/>
      <w:szCs w:val="24"/>
    </w:rPr>
  </w:style>
  <w:style w:type="paragraph" w:styleId="12">
    <w:name w:val="toc 7"/>
    <w:basedOn w:val="1"/>
    <w:next w:val="1"/>
    <w:qFormat/>
    <w:uiPriority w:val="0"/>
    <w:pPr>
      <w:ind w:left="1260"/>
      <w:jc w:val="left"/>
    </w:pPr>
    <w:rPr>
      <w:rFonts w:ascii="Times New Roman" w:hAnsi="Times New Roman" w:eastAsia="宋体" w:cs="Times New Roman"/>
      <w:sz w:val="20"/>
      <w:szCs w:val="20"/>
    </w:rPr>
  </w:style>
  <w:style w:type="paragraph" w:styleId="13">
    <w:name w:val="table of authorities"/>
    <w:basedOn w:val="1"/>
    <w:next w:val="1"/>
    <w:qFormat/>
    <w:uiPriority w:val="0"/>
    <w:pPr>
      <w:ind w:left="420" w:leftChars="200"/>
    </w:pPr>
    <w:rPr>
      <w:rFonts w:ascii="Times New Roman" w:hAnsi="Times New Roman" w:eastAsia="宋体" w:cs="Times New Roman"/>
      <w:szCs w:val="24"/>
    </w:rPr>
  </w:style>
  <w:style w:type="paragraph" w:styleId="14">
    <w:name w:val="Normal Indent"/>
    <w:basedOn w:val="1"/>
    <w:qFormat/>
    <w:uiPriority w:val="0"/>
    <w:pPr>
      <w:ind w:firstLine="420"/>
    </w:pPr>
    <w:rPr>
      <w:rFonts w:ascii="Times New Roman" w:hAnsi="Times New Roman" w:eastAsia="宋体" w:cs="Times New Roman"/>
      <w:szCs w:val="20"/>
    </w:rPr>
  </w:style>
  <w:style w:type="paragraph" w:styleId="15">
    <w:name w:val="caption"/>
    <w:basedOn w:val="1"/>
    <w:next w:val="1"/>
    <w:qFormat/>
    <w:uiPriority w:val="0"/>
    <w:rPr>
      <w:rFonts w:ascii="Arial" w:hAnsi="Arial" w:eastAsia="黑体" w:cs="Arial"/>
      <w:sz w:val="20"/>
      <w:szCs w:val="20"/>
    </w:rPr>
  </w:style>
  <w:style w:type="paragraph" w:styleId="16">
    <w:name w:val="index 5"/>
    <w:basedOn w:val="1"/>
    <w:next w:val="1"/>
    <w:qFormat/>
    <w:uiPriority w:val="0"/>
    <w:pPr>
      <w:ind w:left="800" w:leftChars="800"/>
    </w:pPr>
    <w:rPr>
      <w:rFonts w:ascii="Times New Roman" w:hAnsi="Times New Roman" w:eastAsia="宋体" w:cs="Times New Roman"/>
      <w:szCs w:val="24"/>
    </w:rPr>
  </w:style>
  <w:style w:type="paragraph" w:styleId="17">
    <w:name w:val="List Bullet"/>
    <w:basedOn w:val="1"/>
    <w:qFormat/>
    <w:uiPriority w:val="0"/>
    <w:pPr>
      <w:numPr>
        <w:ilvl w:val="0"/>
        <w:numId w:val="2"/>
      </w:numPr>
    </w:pPr>
    <w:rPr>
      <w:rFonts w:ascii="Times New Roman" w:hAnsi="Times New Roman" w:eastAsia="宋体" w:cs="Times New Roman"/>
      <w:szCs w:val="24"/>
    </w:rPr>
  </w:style>
  <w:style w:type="paragraph" w:styleId="18">
    <w:name w:val="Document Map"/>
    <w:basedOn w:val="1"/>
    <w:link w:val="68"/>
    <w:qFormat/>
    <w:uiPriority w:val="0"/>
    <w:pPr>
      <w:shd w:val="clear" w:color="auto" w:fill="000080"/>
    </w:pPr>
    <w:rPr>
      <w:rFonts w:ascii="Times New Roman" w:hAnsi="Times New Roman" w:eastAsia="宋体" w:cs="Times New Roman"/>
      <w:kern w:val="0"/>
      <w:sz w:val="20"/>
    </w:rPr>
  </w:style>
  <w:style w:type="paragraph" w:styleId="19">
    <w:name w:val="annotation text"/>
    <w:basedOn w:val="1"/>
    <w:link w:val="69"/>
    <w:semiHidden/>
    <w:unhideWhenUsed/>
    <w:qFormat/>
    <w:uiPriority w:val="0"/>
    <w:pPr>
      <w:jc w:val="left"/>
    </w:pPr>
  </w:style>
  <w:style w:type="paragraph" w:styleId="20">
    <w:name w:val="Body Text 3"/>
    <w:basedOn w:val="1"/>
    <w:link w:val="70"/>
    <w:qFormat/>
    <w:uiPriority w:val="0"/>
    <w:pPr>
      <w:adjustRightInd w:val="0"/>
      <w:spacing w:after="120" w:line="360" w:lineRule="atLeast"/>
      <w:textAlignment w:val="baseline"/>
    </w:pPr>
    <w:rPr>
      <w:rFonts w:ascii="Times New Roman" w:hAnsi="Times New Roman" w:eastAsia="宋体" w:cs="Times New Roman"/>
      <w:kern w:val="0"/>
      <w:sz w:val="16"/>
      <w:szCs w:val="16"/>
    </w:rPr>
  </w:style>
  <w:style w:type="paragraph" w:styleId="21">
    <w:name w:val="Body Text"/>
    <w:basedOn w:val="1"/>
    <w:link w:val="71"/>
    <w:unhideWhenUsed/>
    <w:qFormat/>
    <w:uiPriority w:val="0"/>
    <w:pPr>
      <w:spacing w:after="120"/>
    </w:pPr>
  </w:style>
  <w:style w:type="paragraph" w:styleId="22">
    <w:name w:val="Body Text Indent"/>
    <w:basedOn w:val="1"/>
    <w:link w:val="72"/>
    <w:unhideWhenUsed/>
    <w:qFormat/>
    <w:uiPriority w:val="0"/>
    <w:pPr>
      <w:spacing w:after="120"/>
      <w:ind w:left="420" w:leftChars="200"/>
    </w:pPr>
    <w:rPr>
      <w:sz w:val="24"/>
      <w:szCs w:val="24"/>
    </w:rPr>
  </w:style>
  <w:style w:type="paragraph" w:styleId="23">
    <w:name w:val="List 2"/>
    <w:basedOn w:val="1"/>
    <w:qFormat/>
    <w:uiPriority w:val="0"/>
    <w:pPr>
      <w:ind w:left="100" w:leftChars="200" w:hanging="200" w:hangingChars="200"/>
    </w:pPr>
    <w:rPr>
      <w:rFonts w:ascii="Times New Roman" w:hAnsi="Times New Roman" w:eastAsia="宋体" w:cs="Times New Roman"/>
      <w:szCs w:val="24"/>
    </w:rPr>
  </w:style>
  <w:style w:type="paragraph" w:styleId="24">
    <w:name w:val="List Continue"/>
    <w:basedOn w:val="1"/>
    <w:qFormat/>
    <w:uiPriority w:val="0"/>
    <w:pPr>
      <w:spacing w:after="120"/>
      <w:ind w:left="420" w:leftChars="200"/>
    </w:pPr>
    <w:rPr>
      <w:rFonts w:ascii="Times New Roman" w:hAnsi="Times New Roman" w:eastAsia="宋体" w:cs="Times New Roman"/>
      <w:szCs w:val="24"/>
    </w:rPr>
  </w:style>
  <w:style w:type="paragraph" w:styleId="25">
    <w:name w:val="Block Text"/>
    <w:basedOn w:val="1"/>
    <w:qFormat/>
    <w:uiPriority w:val="0"/>
    <w:pPr>
      <w:spacing w:before="120" w:after="120" w:line="360" w:lineRule="auto"/>
      <w:ind w:left="525" w:right="202"/>
    </w:pPr>
    <w:rPr>
      <w:rFonts w:ascii="宋体" w:hAnsi="宋体" w:eastAsia="宋体" w:cs="Times New Roman"/>
      <w:spacing w:val="-4"/>
      <w:sz w:val="24"/>
      <w:szCs w:val="24"/>
    </w:rPr>
  </w:style>
  <w:style w:type="paragraph" w:styleId="26">
    <w:name w:val="List Bullet 2"/>
    <w:basedOn w:val="1"/>
    <w:qFormat/>
    <w:uiPriority w:val="0"/>
    <w:pPr>
      <w:numPr>
        <w:ilvl w:val="0"/>
        <w:numId w:val="3"/>
      </w:numPr>
    </w:pPr>
    <w:rPr>
      <w:rFonts w:ascii="Times New Roman" w:hAnsi="Times New Roman" w:eastAsia="宋体" w:cs="Times New Roman"/>
      <w:szCs w:val="24"/>
    </w:rPr>
  </w:style>
  <w:style w:type="paragraph" w:styleId="27">
    <w:name w:val="toc 5"/>
    <w:basedOn w:val="1"/>
    <w:next w:val="1"/>
    <w:qFormat/>
    <w:uiPriority w:val="0"/>
    <w:pPr>
      <w:ind w:left="840"/>
      <w:jc w:val="left"/>
    </w:pPr>
    <w:rPr>
      <w:rFonts w:ascii="Times New Roman" w:hAnsi="Times New Roman" w:eastAsia="宋体" w:cs="Times New Roman"/>
      <w:sz w:val="20"/>
      <w:szCs w:val="20"/>
    </w:rPr>
  </w:style>
  <w:style w:type="paragraph" w:styleId="28">
    <w:name w:val="toc 3"/>
    <w:basedOn w:val="1"/>
    <w:next w:val="1"/>
    <w:qFormat/>
    <w:uiPriority w:val="0"/>
    <w:pPr>
      <w:tabs>
        <w:tab w:val="left" w:pos="1050"/>
        <w:tab w:val="right" w:leader="dot" w:pos="8636"/>
      </w:tabs>
      <w:spacing w:line="360" w:lineRule="auto"/>
      <w:jc w:val="left"/>
    </w:pPr>
    <w:rPr>
      <w:rFonts w:ascii="楷体_GB2312" w:hAnsi="黑体" w:eastAsia="楷体_GB2312" w:cs="Times New Roman"/>
      <w:sz w:val="28"/>
      <w:szCs w:val="20"/>
    </w:rPr>
  </w:style>
  <w:style w:type="paragraph" w:styleId="29">
    <w:name w:val="Plain Text"/>
    <w:basedOn w:val="1"/>
    <w:link w:val="73"/>
    <w:qFormat/>
    <w:uiPriority w:val="0"/>
    <w:rPr>
      <w:rFonts w:ascii="宋体" w:hAnsi="Courier New" w:eastAsia="宋体" w:cs="Times New Roman"/>
      <w:kern w:val="0"/>
      <w:sz w:val="20"/>
      <w:szCs w:val="21"/>
    </w:rPr>
  </w:style>
  <w:style w:type="paragraph" w:styleId="30">
    <w:name w:val="toc 8"/>
    <w:basedOn w:val="1"/>
    <w:next w:val="1"/>
    <w:qFormat/>
    <w:uiPriority w:val="0"/>
    <w:pPr>
      <w:ind w:left="1470"/>
      <w:jc w:val="left"/>
    </w:pPr>
    <w:rPr>
      <w:rFonts w:ascii="Times New Roman" w:hAnsi="Times New Roman" w:eastAsia="宋体" w:cs="Times New Roman"/>
      <w:sz w:val="20"/>
      <w:szCs w:val="20"/>
    </w:rPr>
  </w:style>
  <w:style w:type="paragraph" w:styleId="31">
    <w:name w:val="Date"/>
    <w:basedOn w:val="1"/>
    <w:next w:val="1"/>
    <w:link w:val="74"/>
    <w:qFormat/>
    <w:uiPriority w:val="0"/>
    <w:pPr>
      <w:ind w:left="100" w:leftChars="2500"/>
    </w:pPr>
    <w:rPr>
      <w:rFonts w:ascii="Times New Roman" w:hAnsi="Times New Roman" w:eastAsia="宋体" w:cs="Times New Roman"/>
      <w:kern w:val="0"/>
      <w:sz w:val="20"/>
    </w:rPr>
  </w:style>
  <w:style w:type="paragraph" w:styleId="32">
    <w:name w:val="Body Text Indent 2"/>
    <w:basedOn w:val="1"/>
    <w:link w:val="75"/>
    <w:qFormat/>
    <w:uiPriority w:val="0"/>
    <w:pPr>
      <w:spacing w:after="120" w:line="480" w:lineRule="auto"/>
      <w:ind w:left="420" w:leftChars="200"/>
    </w:pPr>
    <w:rPr>
      <w:rFonts w:ascii="Times New Roman" w:hAnsi="Times New Roman" w:eastAsia="宋体" w:cs="Times New Roman"/>
      <w:kern w:val="0"/>
      <w:sz w:val="20"/>
    </w:rPr>
  </w:style>
  <w:style w:type="paragraph" w:styleId="33">
    <w:name w:val="Balloon Text"/>
    <w:basedOn w:val="1"/>
    <w:link w:val="76"/>
    <w:semiHidden/>
    <w:qFormat/>
    <w:uiPriority w:val="0"/>
    <w:rPr>
      <w:rFonts w:ascii="Times New Roman" w:hAnsi="Times New Roman" w:eastAsia="宋体" w:cs="Times New Roman"/>
      <w:kern w:val="0"/>
      <w:sz w:val="18"/>
      <w:szCs w:val="18"/>
    </w:rPr>
  </w:style>
  <w:style w:type="paragraph" w:styleId="34">
    <w:name w:val="footer"/>
    <w:basedOn w:val="1"/>
    <w:link w:val="77"/>
    <w:qFormat/>
    <w:uiPriority w:val="99"/>
    <w:pPr>
      <w:tabs>
        <w:tab w:val="center" w:pos="4153"/>
        <w:tab w:val="right" w:pos="8306"/>
      </w:tabs>
      <w:snapToGrid w:val="0"/>
      <w:jc w:val="left"/>
    </w:pPr>
    <w:rPr>
      <w:rFonts w:ascii="Times New Roman" w:hAnsi="Times New Roman" w:eastAsia="宋体" w:cs="Times New Roman"/>
      <w:kern w:val="0"/>
      <w:sz w:val="18"/>
      <w:szCs w:val="20"/>
    </w:rPr>
  </w:style>
  <w:style w:type="paragraph" w:styleId="35">
    <w:name w:val="header"/>
    <w:basedOn w:val="1"/>
    <w:link w:val="7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eastAsia="宋体" w:cs="Times New Roman"/>
      <w:kern w:val="0"/>
      <w:sz w:val="18"/>
      <w:szCs w:val="20"/>
    </w:rPr>
  </w:style>
  <w:style w:type="paragraph" w:styleId="36">
    <w:name w:val="toc 1"/>
    <w:basedOn w:val="1"/>
    <w:next w:val="1"/>
    <w:qFormat/>
    <w:uiPriority w:val="39"/>
    <w:pPr>
      <w:adjustRightInd w:val="0"/>
      <w:snapToGrid w:val="0"/>
    </w:pPr>
    <w:rPr>
      <w:rFonts w:ascii="Times New Roman" w:hAnsi="Times New Roman" w:eastAsia="仿宋" w:cs="Times New Roman"/>
      <w:szCs w:val="24"/>
    </w:rPr>
  </w:style>
  <w:style w:type="paragraph" w:styleId="37">
    <w:name w:val="toc 4"/>
    <w:basedOn w:val="1"/>
    <w:next w:val="1"/>
    <w:qFormat/>
    <w:uiPriority w:val="0"/>
    <w:pPr>
      <w:ind w:left="630"/>
      <w:jc w:val="left"/>
    </w:pPr>
    <w:rPr>
      <w:rFonts w:ascii="楷体_GB2312" w:hAnsi="Times New Roman" w:eastAsia="楷体_GB2312" w:cs="Times New Roman"/>
      <w:sz w:val="28"/>
      <w:szCs w:val="20"/>
    </w:rPr>
  </w:style>
  <w:style w:type="paragraph" w:styleId="38">
    <w:name w:val="List"/>
    <w:basedOn w:val="1"/>
    <w:qFormat/>
    <w:uiPriority w:val="0"/>
    <w:pPr>
      <w:ind w:left="200" w:hanging="200" w:hangingChars="200"/>
    </w:pPr>
    <w:rPr>
      <w:rFonts w:ascii="Times New Roman" w:hAnsi="Times New Roman" w:eastAsia="宋体" w:cs="Times New Roman"/>
      <w:szCs w:val="24"/>
    </w:rPr>
  </w:style>
  <w:style w:type="paragraph" w:styleId="39">
    <w:name w:val="toc 6"/>
    <w:basedOn w:val="1"/>
    <w:next w:val="1"/>
    <w:qFormat/>
    <w:uiPriority w:val="0"/>
    <w:pPr>
      <w:ind w:left="1050"/>
      <w:jc w:val="left"/>
    </w:pPr>
    <w:rPr>
      <w:rFonts w:ascii="Times New Roman" w:hAnsi="Times New Roman" w:eastAsia="宋体" w:cs="Times New Roman"/>
      <w:sz w:val="20"/>
      <w:szCs w:val="20"/>
    </w:rPr>
  </w:style>
  <w:style w:type="paragraph" w:styleId="40">
    <w:name w:val="Body Text Indent 3"/>
    <w:basedOn w:val="1"/>
    <w:link w:val="79"/>
    <w:qFormat/>
    <w:uiPriority w:val="0"/>
    <w:pPr>
      <w:spacing w:after="120"/>
      <w:ind w:left="420" w:leftChars="200"/>
    </w:pPr>
    <w:rPr>
      <w:rFonts w:ascii="Times New Roman" w:hAnsi="Times New Roman" w:eastAsia="宋体" w:cs="Times New Roman"/>
      <w:kern w:val="0"/>
      <w:sz w:val="16"/>
      <w:szCs w:val="16"/>
    </w:rPr>
  </w:style>
  <w:style w:type="paragraph" w:styleId="41">
    <w:name w:val="toc 2"/>
    <w:basedOn w:val="1"/>
    <w:next w:val="1"/>
    <w:qFormat/>
    <w:uiPriority w:val="0"/>
    <w:pPr>
      <w:tabs>
        <w:tab w:val="left" w:pos="0"/>
        <w:tab w:val="left" w:pos="840"/>
        <w:tab w:val="right" w:leader="dot" w:pos="8688"/>
      </w:tabs>
      <w:adjustRightInd w:val="0"/>
      <w:snapToGrid w:val="0"/>
      <w:spacing w:before="120"/>
      <w:jc w:val="left"/>
    </w:pPr>
    <w:rPr>
      <w:rFonts w:ascii="楷体_GB2312" w:hAnsi="Times New Roman" w:eastAsia="仿宋" w:cs="Times New Roman"/>
      <w:sz w:val="24"/>
      <w:szCs w:val="28"/>
    </w:rPr>
  </w:style>
  <w:style w:type="paragraph" w:styleId="42">
    <w:name w:val="toc 9"/>
    <w:basedOn w:val="1"/>
    <w:next w:val="1"/>
    <w:qFormat/>
    <w:uiPriority w:val="0"/>
    <w:pPr>
      <w:ind w:left="1680"/>
      <w:jc w:val="left"/>
    </w:pPr>
    <w:rPr>
      <w:rFonts w:ascii="Times New Roman" w:hAnsi="Times New Roman" w:eastAsia="宋体" w:cs="Times New Roman"/>
      <w:sz w:val="20"/>
      <w:szCs w:val="20"/>
    </w:rPr>
  </w:style>
  <w:style w:type="paragraph" w:styleId="43">
    <w:name w:val="Body Text 2"/>
    <w:basedOn w:val="1"/>
    <w:link w:val="80"/>
    <w:unhideWhenUsed/>
    <w:qFormat/>
    <w:uiPriority w:val="0"/>
    <w:pPr>
      <w:spacing w:after="120" w:line="480" w:lineRule="auto"/>
    </w:pPr>
    <w:rPr>
      <w:rFonts w:ascii="Times New Roman" w:hAnsi="Times New Roman" w:eastAsia="宋体" w:cs="Times New Roman"/>
      <w:kern w:val="0"/>
      <w:sz w:val="20"/>
    </w:rPr>
  </w:style>
  <w:style w:type="paragraph" w:styleId="44">
    <w:name w:val="List 4"/>
    <w:basedOn w:val="1"/>
    <w:qFormat/>
    <w:uiPriority w:val="0"/>
    <w:pPr>
      <w:ind w:left="100" w:leftChars="600" w:hanging="200" w:hangingChars="200"/>
    </w:pPr>
    <w:rPr>
      <w:rFonts w:ascii="Times New Roman" w:hAnsi="Times New Roman" w:eastAsia="宋体" w:cs="Times New Roman"/>
      <w:szCs w:val="24"/>
    </w:rPr>
  </w:style>
  <w:style w:type="paragraph" w:styleId="45">
    <w:name w:val="List Continue 2"/>
    <w:basedOn w:val="1"/>
    <w:qFormat/>
    <w:uiPriority w:val="0"/>
    <w:pPr>
      <w:spacing w:after="120"/>
      <w:ind w:left="840" w:leftChars="400"/>
    </w:pPr>
    <w:rPr>
      <w:rFonts w:ascii="Times New Roman" w:hAnsi="Times New Roman" w:eastAsia="宋体" w:cs="Times New Roman"/>
      <w:szCs w:val="24"/>
    </w:rPr>
  </w:style>
  <w:style w:type="paragraph" w:styleId="46">
    <w:name w:val="Normal (Web)"/>
    <w:basedOn w:val="1"/>
    <w:qFormat/>
    <w:uiPriority w:val="99"/>
    <w:pPr>
      <w:widowControl/>
      <w:spacing w:before="100" w:beforeAutospacing="1" w:after="100" w:afterAutospacing="1"/>
      <w:jc w:val="left"/>
    </w:pPr>
    <w:rPr>
      <w:rFonts w:ascii="Times New Roman" w:hAnsi="Times New Roman" w:eastAsia="Arial Unicode MS" w:cs="Arial Unicode MS"/>
      <w:color w:val="000000"/>
      <w:kern w:val="0"/>
      <w:sz w:val="18"/>
      <w:szCs w:val="18"/>
    </w:rPr>
  </w:style>
  <w:style w:type="paragraph" w:styleId="47">
    <w:name w:val="index 1"/>
    <w:basedOn w:val="1"/>
    <w:next w:val="1"/>
    <w:qFormat/>
    <w:uiPriority w:val="0"/>
    <w:pPr>
      <w:adjustRightInd w:val="0"/>
      <w:snapToGrid w:val="0"/>
      <w:jc w:val="center"/>
    </w:pPr>
    <w:rPr>
      <w:rFonts w:ascii="Times New Roman" w:hAnsi="Times New Roman" w:eastAsia="宋体" w:cs="Times New Roman"/>
      <w:szCs w:val="20"/>
    </w:rPr>
  </w:style>
  <w:style w:type="paragraph" w:styleId="48">
    <w:name w:val="Title"/>
    <w:basedOn w:val="1"/>
    <w:next w:val="1"/>
    <w:link w:val="81"/>
    <w:qFormat/>
    <w:uiPriority w:val="0"/>
    <w:pPr>
      <w:spacing w:before="60" w:after="60"/>
      <w:jc w:val="center"/>
      <w:outlineLvl w:val="0"/>
    </w:pPr>
    <w:rPr>
      <w:rFonts w:ascii="Cambria" w:hAnsi="Cambria" w:eastAsia="黑体" w:cs="Times New Roman"/>
      <w:b/>
      <w:bCs/>
      <w:kern w:val="0"/>
      <w:sz w:val="32"/>
      <w:szCs w:val="32"/>
    </w:rPr>
  </w:style>
  <w:style w:type="paragraph" w:styleId="49">
    <w:name w:val="annotation subject"/>
    <w:basedOn w:val="19"/>
    <w:next w:val="19"/>
    <w:link w:val="82"/>
    <w:semiHidden/>
    <w:qFormat/>
    <w:uiPriority w:val="0"/>
    <w:rPr>
      <w:rFonts w:ascii="Times New Roman" w:hAnsi="Times New Roman" w:eastAsia="宋体" w:cs="Times New Roman"/>
      <w:b/>
      <w:bCs/>
      <w:kern w:val="0"/>
      <w:sz w:val="20"/>
    </w:rPr>
  </w:style>
  <w:style w:type="paragraph" w:styleId="50">
    <w:name w:val="Body Text First Indent"/>
    <w:basedOn w:val="21"/>
    <w:link w:val="83"/>
    <w:qFormat/>
    <w:uiPriority w:val="0"/>
    <w:pPr>
      <w:ind w:firstLine="420" w:firstLineChars="100"/>
    </w:pPr>
    <w:rPr>
      <w:rFonts w:ascii="Times New Roman" w:hAnsi="Times New Roman" w:eastAsia="宋体" w:cs="Times New Roman"/>
      <w:kern w:val="0"/>
      <w:sz w:val="20"/>
      <w:szCs w:val="24"/>
    </w:rPr>
  </w:style>
  <w:style w:type="paragraph" w:styleId="51">
    <w:name w:val="Body Text First Indent 2"/>
    <w:basedOn w:val="22"/>
    <w:link w:val="84"/>
    <w:qFormat/>
    <w:uiPriority w:val="0"/>
    <w:pPr>
      <w:ind w:firstLine="420" w:firstLineChars="200"/>
    </w:pPr>
    <w:rPr>
      <w:rFonts w:ascii="宋体" w:hAnsi="宋体" w:eastAsia="宋体" w:cs="Times New Roman"/>
      <w:kern w:val="0"/>
      <w:sz w:val="28"/>
      <w:szCs w:val="22"/>
    </w:rPr>
  </w:style>
  <w:style w:type="table" w:styleId="53">
    <w:name w:val="Table Grid"/>
    <w:basedOn w:val="52"/>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unhideWhenUsed/>
    <w:qFormat/>
    <w:uiPriority w:val="99"/>
    <w:rPr>
      <w:color w:val="800080"/>
      <w:u w:val="single"/>
    </w:rPr>
  </w:style>
  <w:style w:type="character" w:styleId="58">
    <w:name w:val="Hyperlink"/>
    <w:qFormat/>
    <w:uiPriority w:val="99"/>
    <w:rPr>
      <w:color w:val="0000FF"/>
      <w:u w:val="single"/>
    </w:rPr>
  </w:style>
  <w:style w:type="character" w:customStyle="1" w:styleId="59">
    <w:name w:val="标题 1 Char"/>
    <w:basedOn w:val="54"/>
    <w:link w:val="2"/>
    <w:qFormat/>
    <w:uiPriority w:val="0"/>
    <w:rPr>
      <w:rFonts w:ascii="Times New Roman" w:hAnsi="Times New Roman" w:eastAsia="宋体" w:cs="Times New Roman"/>
      <w:b/>
      <w:bCs/>
      <w:kern w:val="44"/>
      <w:sz w:val="30"/>
      <w:szCs w:val="44"/>
    </w:rPr>
  </w:style>
  <w:style w:type="character" w:customStyle="1" w:styleId="60">
    <w:name w:val="标题 2 Char"/>
    <w:basedOn w:val="54"/>
    <w:link w:val="3"/>
    <w:qFormat/>
    <w:uiPriority w:val="0"/>
    <w:rPr>
      <w:rFonts w:ascii="Arial" w:hAnsi="Arial" w:eastAsia="宋体" w:cs="Times New Roman"/>
      <w:b/>
      <w:bCs/>
      <w:kern w:val="0"/>
      <w:sz w:val="28"/>
      <w:szCs w:val="32"/>
    </w:rPr>
  </w:style>
  <w:style w:type="character" w:customStyle="1" w:styleId="61">
    <w:name w:val="标题 3 Char"/>
    <w:basedOn w:val="54"/>
    <w:link w:val="4"/>
    <w:qFormat/>
    <w:uiPriority w:val="0"/>
    <w:rPr>
      <w:rFonts w:ascii="宋体" w:hAnsi="Times New Roman" w:eastAsia="宋体" w:cs="Times New Roman"/>
      <w:b/>
      <w:kern w:val="0"/>
      <w:sz w:val="28"/>
      <w:szCs w:val="20"/>
    </w:rPr>
  </w:style>
  <w:style w:type="character" w:customStyle="1" w:styleId="62">
    <w:name w:val="标题 4 Char"/>
    <w:basedOn w:val="54"/>
    <w:link w:val="5"/>
    <w:qFormat/>
    <w:uiPriority w:val="0"/>
    <w:rPr>
      <w:rFonts w:ascii="Arial" w:hAnsi="Arial" w:eastAsia="黑体" w:cs="Times New Roman"/>
      <w:b/>
      <w:bCs/>
      <w:kern w:val="0"/>
      <w:sz w:val="28"/>
      <w:szCs w:val="28"/>
    </w:rPr>
  </w:style>
  <w:style w:type="character" w:customStyle="1" w:styleId="63">
    <w:name w:val="标题 5 Char"/>
    <w:basedOn w:val="54"/>
    <w:link w:val="6"/>
    <w:qFormat/>
    <w:uiPriority w:val="0"/>
    <w:rPr>
      <w:rFonts w:ascii="Times New Roman" w:hAnsi="Times New Roman" w:eastAsia="宋体" w:cs="Times New Roman"/>
      <w:b/>
      <w:bCs/>
      <w:kern w:val="0"/>
      <w:sz w:val="28"/>
      <w:szCs w:val="28"/>
    </w:rPr>
  </w:style>
  <w:style w:type="character" w:customStyle="1" w:styleId="64">
    <w:name w:val="标题 6 Char"/>
    <w:basedOn w:val="54"/>
    <w:link w:val="7"/>
    <w:qFormat/>
    <w:uiPriority w:val="0"/>
    <w:rPr>
      <w:rFonts w:ascii="Arial" w:hAnsi="Arial" w:eastAsia="黑体" w:cs="Times New Roman"/>
      <w:b/>
      <w:bCs/>
      <w:kern w:val="0"/>
      <w:sz w:val="24"/>
      <w:szCs w:val="24"/>
    </w:rPr>
  </w:style>
  <w:style w:type="character" w:customStyle="1" w:styleId="65">
    <w:name w:val="标题 7 Char"/>
    <w:basedOn w:val="54"/>
    <w:link w:val="8"/>
    <w:qFormat/>
    <w:uiPriority w:val="0"/>
    <w:rPr>
      <w:rFonts w:ascii="Times New Roman" w:hAnsi="Times New Roman" w:eastAsia="宋体" w:cs="Times New Roman"/>
      <w:b/>
      <w:bCs/>
      <w:kern w:val="0"/>
      <w:sz w:val="24"/>
      <w:szCs w:val="24"/>
    </w:rPr>
  </w:style>
  <w:style w:type="character" w:customStyle="1" w:styleId="66">
    <w:name w:val="标题 8 Char"/>
    <w:basedOn w:val="54"/>
    <w:link w:val="9"/>
    <w:qFormat/>
    <w:uiPriority w:val="0"/>
    <w:rPr>
      <w:rFonts w:ascii="Arial" w:hAnsi="Arial" w:eastAsia="黑体" w:cs="Times New Roman"/>
      <w:kern w:val="0"/>
      <w:sz w:val="24"/>
      <w:szCs w:val="24"/>
    </w:rPr>
  </w:style>
  <w:style w:type="character" w:customStyle="1" w:styleId="67">
    <w:name w:val="标题 9 Char"/>
    <w:basedOn w:val="54"/>
    <w:link w:val="10"/>
    <w:qFormat/>
    <w:uiPriority w:val="0"/>
    <w:rPr>
      <w:rFonts w:ascii="Arial" w:hAnsi="Arial" w:eastAsia="黑体" w:cs="Times New Roman"/>
      <w:kern w:val="0"/>
      <w:sz w:val="20"/>
      <w:szCs w:val="21"/>
    </w:rPr>
  </w:style>
  <w:style w:type="character" w:customStyle="1" w:styleId="68">
    <w:name w:val="文档结构图 Char"/>
    <w:basedOn w:val="54"/>
    <w:link w:val="18"/>
    <w:qFormat/>
    <w:uiPriority w:val="0"/>
    <w:rPr>
      <w:rFonts w:ascii="Times New Roman" w:hAnsi="Times New Roman" w:eastAsia="宋体" w:cs="Times New Roman"/>
      <w:kern w:val="0"/>
      <w:sz w:val="20"/>
      <w:shd w:val="clear" w:color="auto" w:fill="000080"/>
    </w:rPr>
  </w:style>
  <w:style w:type="character" w:customStyle="1" w:styleId="69">
    <w:name w:val="批注文字 Char"/>
    <w:basedOn w:val="54"/>
    <w:link w:val="19"/>
    <w:semiHidden/>
    <w:qFormat/>
    <w:uiPriority w:val="0"/>
  </w:style>
  <w:style w:type="character" w:customStyle="1" w:styleId="70">
    <w:name w:val="正文文本 3 Char"/>
    <w:basedOn w:val="54"/>
    <w:link w:val="20"/>
    <w:qFormat/>
    <w:uiPriority w:val="0"/>
    <w:rPr>
      <w:rFonts w:ascii="Times New Roman" w:hAnsi="Times New Roman" w:eastAsia="宋体" w:cs="Times New Roman"/>
      <w:kern w:val="0"/>
      <w:sz w:val="16"/>
      <w:szCs w:val="16"/>
    </w:rPr>
  </w:style>
  <w:style w:type="character" w:customStyle="1" w:styleId="71">
    <w:name w:val="正文文本 Char"/>
    <w:basedOn w:val="54"/>
    <w:link w:val="21"/>
    <w:qFormat/>
    <w:uiPriority w:val="0"/>
  </w:style>
  <w:style w:type="character" w:customStyle="1" w:styleId="72">
    <w:name w:val="正文文本缩进 Char"/>
    <w:basedOn w:val="54"/>
    <w:link w:val="22"/>
    <w:qFormat/>
    <w:uiPriority w:val="0"/>
    <w:rPr>
      <w:sz w:val="24"/>
      <w:szCs w:val="24"/>
    </w:rPr>
  </w:style>
  <w:style w:type="character" w:customStyle="1" w:styleId="73">
    <w:name w:val="纯文本 Char"/>
    <w:basedOn w:val="54"/>
    <w:link w:val="29"/>
    <w:qFormat/>
    <w:uiPriority w:val="0"/>
    <w:rPr>
      <w:rFonts w:ascii="宋体" w:hAnsi="Courier New" w:eastAsia="宋体" w:cs="Times New Roman"/>
      <w:kern w:val="0"/>
      <w:sz w:val="20"/>
      <w:szCs w:val="21"/>
    </w:rPr>
  </w:style>
  <w:style w:type="character" w:customStyle="1" w:styleId="74">
    <w:name w:val="日期 Char"/>
    <w:basedOn w:val="54"/>
    <w:link w:val="31"/>
    <w:qFormat/>
    <w:uiPriority w:val="0"/>
    <w:rPr>
      <w:rFonts w:ascii="Times New Roman" w:hAnsi="Times New Roman" w:eastAsia="宋体" w:cs="Times New Roman"/>
      <w:kern w:val="0"/>
      <w:sz w:val="20"/>
    </w:rPr>
  </w:style>
  <w:style w:type="character" w:customStyle="1" w:styleId="75">
    <w:name w:val="正文文本缩进 2 Char"/>
    <w:basedOn w:val="54"/>
    <w:link w:val="32"/>
    <w:qFormat/>
    <w:uiPriority w:val="0"/>
    <w:rPr>
      <w:rFonts w:ascii="Times New Roman" w:hAnsi="Times New Roman" w:eastAsia="宋体" w:cs="Times New Roman"/>
      <w:kern w:val="0"/>
      <w:sz w:val="20"/>
    </w:rPr>
  </w:style>
  <w:style w:type="character" w:customStyle="1" w:styleId="76">
    <w:name w:val="批注框文本 Char"/>
    <w:basedOn w:val="54"/>
    <w:link w:val="33"/>
    <w:semiHidden/>
    <w:qFormat/>
    <w:uiPriority w:val="0"/>
    <w:rPr>
      <w:rFonts w:ascii="Times New Roman" w:hAnsi="Times New Roman" w:eastAsia="宋体" w:cs="Times New Roman"/>
      <w:kern w:val="0"/>
      <w:sz w:val="18"/>
      <w:szCs w:val="18"/>
    </w:rPr>
  </w:style>
  <w:style w:type="character" w:customStyle="1" w:styleId="77">
    <w:name w:val="页脚 Char"/>
    <w:basedOn w:val="54"/>
    <w:link w:val="34"/>
    <w:qFormat/>
    <w:uiPriority w:val="99"/>
    <w:rPr>
      <w:rFonts w:ascii="Times New Roman" w:hAnsi="Times New Roman" w:eastAsia="宋体" w:cs="Times New Roman"/>
      <w:kern w:val="0"/>
      <w:sz w:val="18"/>
      <w:szCs w:val="20"/>
    </w:rPr>
  </w:style>
  <w:style w:type="character" w:customStyle="1" w:styleId="78">
    <w:name w:val="页眉 Char"/>
    <w:basedOn w:val="54"/>
    <w:link w:val="35"/>
    <w:qFormat/>
    <w:uiPriority w:val="0"/>
    <w:rPr>
      <w:rFonts w:ascii="Times New Roman" w:hAnsi="Times New Roman" w:eastAsia="宋体" w:cs="Times New Roman"/>
      <w:kern w:val="0"/>
      <w:sz w:val="18"/>
      <w:szCs w:val="20"/>
    </w:rPr>
  </w:style>
  <w:style w:type="character" w:customStyle="1" w:styleId="79">
    <w:name w:val="正文文本缩进 3 Char"/>
    <w:basedOn w:val="54"/>
    <w:link w:val="40"/>
    <w:qFormat/>
    <w:uiPriority w:val="0"/>
    <w:rPr>
      <w:rFonts w:ascii="Times New Roman" w:hAnsi="Times New Roman" w:eastAsia="宋体" w:cs="Times New Roman"/>
      <w:kern w:val="0"/>
      <w:sz w:val="16"/>
      <w:szCs w:val="16"/>
    </w:rPr>
  </w:style>
  <w:style w:type="character" w:customStyle="1" w:styleId="80">
    <w:name w:val="正文文本 2 Char"/>
    <w:basedOn w:val="54"/>
    <w:link w:val="43"/>
    <w:qFormat/>
    <w:uiPriority w:val="0"/>
    <w:rPr>
      <w:rFonts w:ascii="Times New Roman" w:hAnsi="Times New Roman" w:eastAsia="宋体" w:cs="Times New Roman"/>
      <w:kern w:val="0"/>
      <w:sz w:val="20"/>
    </w:rPr>
  </w:style>
  <w:style w:type="character" w:customStyle="1" w:styleId="81">
    <w:name w:val="标题 Char"/>
    <w:basedOn w:val="54"/>
    <w:link w:val="48"/>
    <w:qFormat/>
    <w:uiPriority w:val="0"/>
    <w:rPr>
      <w:rFonts w:ascii="Cambria" w:hAnsi="Cambria" w:eastAsia="黑体" w:cs="Times New Roman"/>
      <w:b/>
      <w:bCs/>
      <w:kern w:val="0"/>
      <w:sz w:val="32"/>
      <w:szCs w:val="32"/>
    </w:rPr>
  </w:style>
  <w:style w:type="character" w:customStyle="1" w:styleId="82">
    <w:name w:val="批注主题 Char"/>
    <w:basedOn w:val="69"/>
    <w:link w:val="49"/>
    <w:semiHidden/>
    <w:qFormat/>
    <w:uiPriority w:val="0"/>
    <w:rPr>
      <w:rFonts w:ascii="Times New Roman" w:hAnsi="Times New Roman" w:eastAsia="宋体" w:cs="Times New Roman"/>
      <w:b/>
      <w:bCs/>
      <w:kern w:val="0"/>
      <w:sz w:val="20"/>
    </w:rPr>
  </w:style>
  <w:style w:type="character" w:customStyle="1" w:styleId="83">
    <w:name w:val="正文首行缩进 Char"/>
    <w:basedOn w:val="71"/>
    <w:link w:val="50"/>
    <w:qFormat/>
    <w:uiPriority w:val="0"/>
    <w:rPr>
      <w:rFonts w:ascii="Times New Roman" w:hAnsi="Times New Roman" w:eastAsia="宋体" w:cs="Times New Roman"/>
      <w:kern w:val="0"/>
      <w:sz w:val="20"/>
      <w:szCs w:val="24"/>
    </w:rPr>
  </w:style>
  <w:style w:type="character" w:customStyle="1" w:styleId="84">
    <w:name w:val="正文首行缩进 2 Char"/>
    <w:basedOn w:val="72"/>
    <w:link w:val="51"/>
    <w:qFormat/>
    <w:uiPriority w:val="0"/>
    <w:rPr>
      <w:rFonts w:ascii="宋体" w:hAnsi="宋体" w:eastAsia="宋体" w:cs="Times New Roman"/>
      <w:kern w:val="0"/>
      <w:sz w:val="28"/>
      <w:szCs w:val="24"/>
    </w:rPr>
  </w:style>
  <w:style w:type="character" w:customStyle="1" w:styleId="85">
    <w:name w:val="font51"/>
    <w:qFormat/>
    <w:uiPriority w:val="0"/>
    <w:rPr>
      <w:rFonts w:hint="default" w:ascii="Times New Roman" w:hAnsi="Times New Roman" w:cs="Times New Roman"/>
      <w:b/>
      <w:color w:val="000000"/>
      <w:sz w:val="24"/>
      <w:szCs w:val="24"/>
      <w:u w:val="none"/>
    </w:rPr>
  </w:style>
  <w:style w:type="character" w:customStyle="1" w:styleId="86">
    <w:name w:val="Char Char"/>
    <w:qFormat/>
    <w:uiPriority w:val="0"/>
    <w:rPr>
      <w:rFonts w:ascii="宋体" w:hAnsi="Courier New" w:eastAsia="宋体" w:cs="Courier New"/>
      <w:kern w:val="2"/>
      <w:sz w:val="21"/>
      <w:szCs w:val="21"/>
      <w:lang w:val="en-US" w:eastAsia="zh-CN" w:bidi="ar-SA"/>
    </w:rPr>
  </w:style>
  <w:style w:type="character" w:customStyle="1" w:styleId="87">
    <w:name w:val="Char Char3"/>
    <w:qFormat/>
    <w:uiPriority w:val="0"/>
    <w:rPr>
      <w:rFonts w:eastAsia="宋体"/>
      <w:kern w:val="2"/>
      <w:sz w:val="18"/>
      <w:szCs w:val="18"/>
      <w:lang w:val="en-US" w:eastAsia="zh-CN" w:bidi="ar-SA"/>
    </w:rPr>
  </w:style>
  <w:style w:type="character" w:customStyle="1" w:styleId="88">
    <w:name w:val="font61"/>
    <w:qFormat/>
    <w:uiPriority w:val="0"/>
    <w:rPr>
      <w:rFonts w:hint="default" w:ascii="Times New Roman" w:hAnsi="Times New Roman" w:cs="Times New Roman"/>
      <w:color w:val="000000"/>
      <w:sz w:val="24"/>
      <w:szCs w:val="24"/>
      <w:u w:val="none"/>
    </w:rPr>
  </w:style>
  <w:style w:type="character" w:customStyle="1" w:styleId="89">
    <w:name w:val="font21"/>
    <w:qFormat/>
    <w:uiPriority w:val="0"/>
    <w:rPr>
      <w:rFonts w:hint="default" w:ascii="Times New Roman" w:hAnsi="Times New Roman" w:cs="Times New Roman"/>
      <w:color w:val="000000"/>
      <w:sz w:val="24"/>
      <w:szCs w:val="24"/>
      <w:u w:val="none"/>
      <w:vertAlign w:val="superscript"/>
    </w:rPr>
  </w:style>
  <w:style w:type="character" w:customStyle="1" w:styleId="90">
    <w:name w:val="font71"/>
    <w:qFormat/>
    <w:uiPriority w:val="0"/>
    <w:rPr>
      <w:rFonts w:hint="eastAsia" w:ascii="宋体" w:hAnsi="宋体" w:eastAsia="宋体" w:cs="宋体"/>
      <w:color w:val="000000"/>
      <w:sz w:val="24"/>
      <w:szCs w:val="24"/>
      <w:u w:val="none"/>
    </w:rPr>
  </w:style>
  <w:style w:type="character" w:customStyle="1" w:styleId="91">
    <w:name w:val="zbggmain style9"/>
    <w:basedOn w:val="54"/>
    <w:qFormat/>
    <w:uiPriority w:val="0"/>
  </w:style>
  <w:style w:type="character" w:customStyle="1" w:styleId="92">
    <w:name w:val="px1233"/>
    <w:basedOn w:val="54"/>
    <w:qFormat/>
    <w:uiPriority w:val="0"/>
  </w:style>
  <w:style w:type="character" w:customStyle="1" w:styleId="93">
    <w:name w:val="font11"/>
    <w:qFormat/>
    <w:uiPriority w:val="0"/>
    <w:rPr>
      <w:rFonts w:hint="default" w:ascii="Times New Roman" w:hAnsi="Times New Roman" w:cs="Times New Roman"/>
      <w:color w:val="000000"/>
      <w:sz w:val="21"/>
      <w:szCs w:val="21"/>
      <w:u w:val="none"/>
    </w:rPr>
  </w:style>
  <w:style w:type="character" w:customStyle="1" w:styleId="94">
    <w:name w:val="font41"/>
    <w:qFormat/>
    <w:uiPriority w:val="0"/>
    <w:rPr>
      <w:rFonts w:hint="eastAsia" w:ascii="宋体" w:hAnsi="宋体" w:eastAsia="宋体" w:cs="宋体"/>
      <w:b/>
      <w:color w:val="000000"/>
      <w:sz w:val="24"/>
      <w:szCs w:val="24"/>
      <w:u w:val="none"/>
    </w:rPr>
  </w:style>
  <w:style w:type="character" w:customStyle="1" w:styleId="95">
    <w:name w:val="正文文本字符"/>
    <w:qFormat/>
    <w:uiPriority w:val="0"/>
    <w:rPr>
      <w:rFonts w:ascii="Times New Roman" w:hAnsi="Times New Roman" w:eastAsia="宋体" w:cs="Times New Roman"/>
      <w:kern w:val="0"/>
      <w:sz w:val="20"/>
      <w:szCs w:val="24"/>
    </w:rPr>
  </w:style>
  <w:style w:type="character" w:customStyle="1" w:styleId="96">
    <w:name w:val="Char Char2"/>
    <w:qFormat/>
    <w:uiPriority w:val="0"/>
    <w:rPr>
      <w:rFonts w:eastAsia="宋体"/>
      <w:kern w:val="2"/>
      <w:sz w:val="18"/>
      <w:szCs w:val="18"/>
      <w:lang w:val="en-US" w:eastAsia="zh-CN" w:bidi="ar-SA"/>
    </w:rPr>
  </w:style>
  <w:style w:type="character" w:customStyle="1" w:styleId="97">
    <w:name w:val="font01"/>
    <w:qFormat/>
    <w:uiPriority w:val="0"/>
    <w:rPr>
      <w:rFonts w:hint="eastAsia" w:ascii="宋体" w:hAnsi="宋体" w:eastAsia="宋体" w:cs="宋体"/>
      <w:color w:val="000000"/>
      <w:sz w:val="21"/>
      <w:szCs w:val="21"/>
      <w:u w:val="none"/>
    </w:rPr>
  </w:style>
  <w:style w:type="character" w:customStyle="1" w:styleId="98">
    <w:name w:val="标题 Char1"/>
    <w:basedOn w:val="54"/>
    <w:qFormat/>
    <w:uiPriority w:val="10"/>
    <w:rPr>
      <w:rFonts w:eastAsia="宋体" w:asciiTheme="majorHAnsi" w:hAnsiTheme="majorHAnsi" w:cstheme="majorBidi"/>
      <w:b/>
      <w:bCs/>
      <w:sz w:val="32"/>
      <w:szCs w:val="32"/>
    </w:rPr>
  </w:style>
  <w:style w:type="paragraph" w:customStyle="1" w:styleId="99">
    <w:name w:val="样式1"/>
    <w:basedOn w:val="5"/>
    <w:qFormat/>
    <w:uiPriority w:val="0"/>
    <w:pPr>
      <w:tabs>
        <w:tab w:val="left" w:pos="864"/>
      </w:tabs>
      <w:spacing w:before="120" w:after="120" w:line="360" w:lineRule="auto"/>
      <w:ind w:left="864" w:hanging="864"/>
    </w:pPr>
    <w:rPr>
      <w:b w:val="0"/>
      <w:bCs w:val="0"/>
    </w:rPr>
  </w:style>
  <w:style w:type="paragraph" w:customStyle="1" w:styleId="100">
    <w:name w:val="Char Char Char1 Char Char Char Char"/>
    <w:basedOn w:val="1"/>
    <w:qFormat/>
    <w:uiPriority w:val="0"/>
    <w:rPr>
      <w:rFonts w:ascii="Times New Roman" w:hAnsi="Times New Roman" w:eastAsia="宋体" w:cs="Times New Roman"/>
      <w:szCs w:val="24"/>
    </w:rPr>
  </w:style>
  <w:style w:type="paragraph" w:customStyle="1" w:styleId="101">
    <w:name w:val="Char Char Char Char Char Char"/>
    <w:basedOn w:val="1"/>
    <w:qFormat/>
    <w:uiPriority w:val="0"/>
    <w:rPr>
      <w:rFonts w:ascii="Times New Roman" w:hAnsi="Times New Roman" w:eastAsia="宋体" w:cs="Times New Roman"/>
      <w:szCs w:val="24"/>
    </w:rPr>
  </w:style>
  <w:style w:type="paragraph" w:customStyle="1" w:styleId="102">
    <w:name w:val="Char Char Char Char"/>
    <w:basedOn w:val="1"/>
    <w:qFormat/>
    <w:uiPriority w:val="0"/>
    <w:rPr>
      <w:rFonts w:ascii="Times New Roman" w:hAnsi="Times New Roman" w:eastAsia="宋体" w:cs="Times New Roman"/>
      <w:szCs w:val="24"/>
    </w:rPr>
  </w:style>
  <w:style w:type="paragraph" w:customStyle="1" w:styleId="103">
    <w:name w:val="p0"/>
    <w:basedOn w:val="1"/>
    <w:qFormat/>
    <w:uiPriority w:val="0"/>
    <w:pPr>
      <w:widowControl/>
    </w:pPr>
    <w:rPr>
      <w:rFonts w:ascii="Times New Roman" w:hAnsi="Times New Roman" w:eastAsia="宋体" w:cs="Times New Roman"/>
      <w:kern w:val="0"/>
      <w:szCs w:val="21"/>
    </w:rPr>
  </w:style>
  <w:style w:type="paragraph" w:customStyle="1" w:styleId="104">
    <w:name w:val="Legal 3"/>
    <w:basedOn w:val="105"/>
    <w:next w:val="105"/>
    <w:qFormat/>
    <w:uiPriority w:val="0"/>
    <w:pPr>
      <w:spacing w:after="120"/>
    </w:pPr>
    <w:rPr>
      <w:rFonts w:cs="Times New Roman"/>
      <w:color w:val="auto"/>
    </w:rPr>
  </w:style>
  <w:style w:type="paragraph" w:customStyle="1" w:styleId="105">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06">
    <w:name w:val="标题字符1"/>
    <w:basedOn w:val="54"/>
    <w:qFormat/>
    <w:uiPriority w:val="10"/>
    <w:rPr>
      <w:rFonts w:eastAsia="宋体" w:asciiTheme="majorHAnsi" w:hAnsiTheme="majorHAnsi" w:cstheme="majorBidi"/>
      <w:b/>
      <w:bCs/>
      <w:sz w:val="32"/>
      <w:szCs w:val="32"/>
    </w:rPr>
  </w:style>
  <w:style w:type="paragraph" w:customStyle="1" w:styleId="107">
    <w:name w:val="列出段落1"/>
    <w:basedOn w:val="1"/>
    <w:unhideWhenUsed/>
    <w:qFormat/>
    <w:uiPriority w:val="99"/>
    <w:pPr>
      <w:ind w:firstLine="420" w:firstLineChars="200"/>
    </w:pPr>
    <w:rPr>
      <w:rFonts w:ascii="Calibri" w:hAnsi="Calibri" w:eastAsia="宋体" w:cs="Times New Roman"/>
    </w:rPr>
  </w:style>
  <w:style w:type="paragraph" w:customStyle="1" w:styleId="108">
    <w:name w:val="图表标题"/>
    <w:basedOn w:val="1"/>
    <w:next w:val="21"/>
    <w:qFormat/>
    <w:uiPriority w:val="0"/>
    <w:rPr>
      <w:rFonts w:ascii="Times New Roman" w:hAnsi="Times New Roman" w:eastAsia="宋体" w:cs="Times New Roman"/>
      <w:sz w:val="30"/>
      <w:szCs w:val="20"/>
    </w:rPr>
  </w:style>
  <w:style w:type="paragraph" w:customStyle="1" w:styleId="109">
    <w:name w:val="样式 正文文本"/>
    <w:basedOn w:val="1"/>
    <w:qFormat/>
    <w:uiPriority w:val="0"/>
    <w:pPr>
      <w:adjustRightInd w:val="0"/>
      <w:snapToGrid w:val="0"/>
      <w:spacing w:line="400" w:lineRule="exact"/>
      <w:ind w:firstLine="200" w:firstLineChars="200"/>
    </w:pPr>
    <w:rPr>
      <w:rFonts w:ascii="Arial" w:hAnsi="Arial" w:eastAsia="宋体" w:cs="Times New Roman"/>
      <w:color w:val="000000"/>
      <w:szCs w:val="20"/>
    </w:rPr>
  </w:style>
  <w:style w:type="paragraph" w:customStyle="1" w:styleId="110">
    <w:name w:val="Char"/>
    <w:basedOn w:val="1"/>
    <w:qFormat/>
    <w:uiPriority w:val="0"/>
    <w:rPr>
      <w:rFonts w:ascii="仿宋_GB2312" w:hAnsi="Times New Roman" w:eastAsia="仿宋_GB2312" w:cs="Times New Roman"/>
      <w:b/>
      <w:sz w:val="32"/>
      <w:szCs w:val="32"/>
    </w:rPr>
  </w:style>
  <w:style w:type="paragraph" w:customStyle="1" w:styleId="111">
    <w:name w:val="Char4 Char Char Char"/>
    <w:basedOn w:val="18"/>
    <w:qFormat/>
    <w:uiPriority w:val="0"/>
    <w:rPr>
      <w:rFonts w:ascii="Tahoma" w:hAnsi="Tahoma"/>
      <w:sz w:val="24"/>
    </w:rPr>
  </w:style>
  <w:style w:type="paragraph" w:customStyle="1" w:styleId="112">
    <w:name w:val="表内文字"/>
    <w:basedOn w:val="1"/>
    <w:qFormat/>
    <w:uiPriority w:val="0"/>
    <w:pPr>
      <w:widowControl/>
      <w:ind w:firstLine="120" w:firstLineChars="50"/>
    </w:pPr>
    <w:rPr>
      <w:rFonts w:ascii="宋体" w:hAnsi="宋体" w:eastAsia="宋体" w:cs="Times New Roman"/>
      <w:sz w:val="24"/>
      <w:szCs w:val="20"/>
    </w:rPr>
  </w:style>
  <w:style w:type="paragraph" w:customStyle="1" w:styleId="113">
    <w:name w:val="Char Char Char"/>
    <w:basedOn w:val="1"/>
    <w:qFormat/>
    <w:uiPriority w:val="0"/>
    <w:pPr>
      <w:ind w:firstLine="360" w:firstLineChars="150"/>
    </w:pPr>
    <w:rPr>
      <w:rFonts w:ascii="Tahoma" w:hAnsi="Tahoma" w:eastAsia="宋体" w:cs="Times New Roman"/>
      <w:sz w:val="24"/>
      <w:szCs w:val="20"/>
    </w:rPr>
  </w:style>
  <w:style w:type="paragraph" w:customStyle="1" w:styleId="114">
    <w:name w:val="样式 样式1 + 首行缩进:  2 字符"/>
    <w:basedOn w:val="1"/>
    <w:qFormat/>
    <w:uiPriority w:val="0"/>
    <w:pPr>
      <w:spacing w:line="360" w:lineRule="exact"/>
      <w:ind w:firstLine="420" w:firstLineChars="200"/>
    </w:pPr>
    <w:rPr>
      <w:rFonts w:ascii="Arial" w:hAnsi="Arial" w:eastAsia="宋体" w:cs="Times New Roman"/>
      <w:szCs w:val="20"/>
    </w:rPr>
  </w:style>
  <w:style w:type="paragraph" w:customStyle="1" w:styleId="115">
    <w:name w:val="legal 2"/>
    <w:basedOn w:val="105"/>
    <w:next w:val="105"/>
    <w:qFormat/>
    <w:uiPriority w:val="0"/>
    <w:pPr>
      <w:spacing w:after="120"/>
    </w:pPr>
    <w:rPr>
      <w:rFonts w:cs="Times New Roman"/>
      <w:color w:val="auto"/>
    </w:rPr>
  </w:style>
  <w:style w:type="paragraph" w:customStyle="1" w:styleId="116">
    <w:name w:val="列表延续"/>
    <w:basedOn w:val="1"/>
    <w:qFormat/>
    <w:uiPriority w:val="0"/>
    <w:pPr>
      <w:tabs>
        <w:tab w:val="left" w:pos="3780"/>
      </w:tabs>
      <w:adjustRightInd w:val="0"/>
      <w:spacing w:line="360" w:lineRule="auto"/>
      <w:ind w:left="3780" w:hanging="420"/>
      <w:textAlignment w:val="baseline"/>
    </w:pPr>
    <w:rPr>
      <w:rFonts w:ascii="Times New Roman" w:hAnsi="Tms Rmn" w:eastAsia="楷体_GB2312" w:cs="Times New Roman"/>
      <w:kern w:val="28"/>
      <w:sz w:val="28"/>
      <w:szCs w:val="20"/>
    </w:rPr>
  </w:style>
  <w:style w:type="paragraph" w:customStyle="1" w:styleId="117">
    <w:name w:val="Legal 5"/>
    <w:basedOn w:val="105"/>
    <w:next w:val="105"/>
    <w:qFormat/>
    <w:uiPriority w:val="0"/>
    <w:pPr>
      <w:spacing w:after="120"/>
    </w:pPr>
    <w:rPr>
      <w:rFonts w:cs="Times New Roman"/>
      <w:color w:val="auto"/>
    </w:rPr>
  </w:style>
  <w:style w:type="paragraph" w:customStyle="1" w:styleId="118">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Legal 4"/>
    <w:basedOn w:val="105"/>
    <w:next w:val="105"/>
    <w:qFormat/>
    <w:uiPriority w:val="0"/>
    <w:pPr>
      <w:spacing w:after="120"/>
    </w:pPr>
    <w:rPr>
      <w:rFonts w:cs="Times New Roman"/>
      <w:color w:val="auto"/>
    </w:rPr>
  </w:style>
  <w:style w:type="paragraph" w:customStyle="1" w:styleId="120">
    <w:name w:val="_Style 41"/>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
    <w:name w:val="正文文字3"/>
    <w:basedOn w:val="21"/>
    <w:qFormat/>
    <w:uiPriority w:val="0"/>
    <w:pPr>
      <w:adjustRightInd w:val="0"/>
      <w:spacing w:after="0" w:line="360" w:lineRule="atLeast"/>
      <w:ind w:left="30" w:leftChars="30" w:right="30" w:rightChars="30"/>
      <w:textAlignment w:val="baseline"/>
    </w:pPr>
    <w:rPr>
      <w:rFonts w:ascii="Times New Roman" w:hAnsi="Times New Roman" w:eastAsia="宋体" w:cs="Times New Roman"/>
      <w:kern w:val="0"/>
      <w:sz w:val="20"/>
      <w:szCs w:val="20"/>
    </w:rPr>
  </w:style>
  <w:style w:type="paragraph" w:customStyle="1" w:styleId="122">
    <w:name w:val="1"/>
    <w:basedOn w:val="1"/>
    <w:qFormat/>
    <w:uiPriority w:val="0"/>
    <w:rPr>
      <w:rFonts w:ascii="仿宋_GB2312" w:hAnsi="Times New Roman" w:eastAsia="仿宋_GB2312" w:cs="Times New Roman"/>
      <w:b/>
      <w:sz w:val="32"/>
      <w:szCs w:val="32"/>
    </w:rPr>
  </w:style>
  <w:style w:type="paragraph" w:customStyle="1" w:styleId="123">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24">
    <w:name w:val="p16"/>
    <w:basedOn w:val="1"/>
    <w:qFormat/>
    <w:uiPriority w:val="0"/>
    <w:pPr>
      <w:widowControl/>
      <w:spacing w:line="360" w:lineRule="auto"/>
      <w:ind w:left="-2" w:firstLine="2"/>
      <w:jc w:val="left"/>
    </w:pPr>
    <w:rPr>
      <w:rFonts w:ascii="宋体" w:hAnsi="宋体" w:eastAsia="宋体" w:cs="宋体"/>
      <w:kern w:val="0"/>
      <w:sz w:val="30"/>
      <w:szCs w:val="30"/>
    </w:rPr>
  </w:style>
  <w:style w:type="paragraph" w:styleId="125">
    <w:name w:val="List Paragraph"/>
    <w:basedOn w:val="1"/>
    <w:qFormat/>
    <w:uiPriority w:val="34"/>
    <w:pPr>
      <w:ind w:firstLine="420" w:firstLineChars="200"/>
    </w:pPr>
    <w:rPr>
      <w:sz w:val="24"/>
      <w:szCs w:val="24"/>
    </w:rPr>
  </w:style>
  <w:style w:type="paragraph" w:customStyle="1" w:styleId="126">
    <w:name w:val="样式 标题 3 + (中文) 黑体 小四 非加粗 段前: 7.8 磅 段后: 0 磅 行距: 固定值 20 磅"/>
    <w:basedOn w:val="4"/>
    <w:qFormat/>
    <w:uiPriority w:val="0"/>
    <w:pPr>
      <w:keepLines/>
      <w:numPr>
        <w:numId w:val="0"/>
      </w:numPr>
      <w:spacing w:line="400" w:lineRule="exact"/>
    </w:pPr>
    <w:rPr>
      <w:rFonts w:ascii="Times New Roman" w:eastAsia="黑体" w:cs="宋体"/>
      <w:b w:val="0"/>
      <w:kern w:val="2"/>
      <w:sz w:val="24"/>
    </w:rPr>
  </w:style>
  <w:style w:type="paragraph" w:customStyle="1" w:styleId="127">
    <w:name w:val="样式 标题 2 + Times New Roman 四号 非加粗 段前: 5 磅 段后: 0 磅 行距: 固定值 20..."/>
    <w:basedOn w:val="3"/>
    <w:qFormat/>
    <w:uiPriority w:val="0"/>
    <w:pPr>
      <w:spacing w:before="100" w:after="0" w:line="400" w:lineRule="exact"/>
      <w:jc w:val="both"/>
    </w:pPr>
    <w:rPr>
      <w:rFonts w:ascii="Times New Roman" w:hAnsi="Times New Roman" w:eastAsia="黑体" w:cs="宋体"/>
      <w:b w:val="0"/>
      <w:bCs w:val="0"/>
      <w:kern w:val="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56</Pages>
  <Words>5451</Words>
  <Characters>31074</Characters>
  <Lines>258</Lines>
  <Paragraphs>72</Paragraphs>
  <TotalTime>21</TotalTime>
  <ScaleCrop>false</ScaleCrop>
  <LinksUpToDate>false</LinksUpToDate>
  <CharactersWithSpaces>36453</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2019-11-13T07:00:00Z</dcterms:created>
  <dc:creator>仇建龙</dc:creator>
  <cp:lastModifiedBy>微尘</cp:lastModifiedBy>
  <dcterms:modified xsi:type="dcterms:W3CDTF">2019-11-15T07:52:40Z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